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387" w:firstLine="0"/>
        <w:jc w:val="center"/>
        <w:keepLines/>
        <w:keepNext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«УТВЕРЖДАЮ»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left="5387" w:firstLine="0"/>
        <w:jc w:val="right"/>
        <w:keepLines/>
        <w:keepNext/>
        <w:spacing w:before="0" w:before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Председатель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закупочной комиссии 1-го уровня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– Заместитель Генерального директора по управлению ресурсами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5387" w:firstLine="0"/>
        <w:jc w:val="right"/>
        <w:keepLines/>
        <w:keepNext/>
        <w:spacing w:before="0" w:before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АО «ДГК»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5387" w:firstLine="0"/>
        <w:jc w:val="right"/>
        <w:keepLines/>
        <w:keepNext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__________________Д.А. Богонатов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/>
        <w:jc w:val="right"/>
        <w:spacing w:before="0" w:line="276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                                                  «__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_» 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 2026 г.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left="4536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jc w:val="center"/>
        <w:keepNext/>
        <w:rPr>
          <w:rFonts w:ascii="Times New Roman" w:hAnsi="Times New Roman" w:cs="Times New Roman"/>
          <w:b/>
          <w:bCs/>
          <w:caps/>
          <w:color w:val="000000" w:themeColor="text1"/>
          <w:sz w:val="24"/>
          <w:szCs w:val="24"/>
        </w:rPr>
        <w:outlineLvl w:val="2"/>
      </w:pPr>
      <w:r>
        <w:rPr>
          <w:rFonts w:ascii="Times New Roman" w:hAnsi="Times New Roman" w:eastAsia="Times New Roman" w:cs="Times New Roman"/>
          <w:b/>
          <w:bCs/>
          <w:caps/>
          <w:color w:val="000000" w:themeColor="text1"/>
          <w:sz w:val="24"/>
          <w:szCs w:val="24"/>
        </w:rPr>
        <w:t xml:space="preserve">Документация о закупке</w:t>
      </w:r>
      <w:r>
        <w:rPr>
          <w:rFonts w:ascii="Times New Roman" w:hAnsi="Times New Roman" w:cs="Times New Roman"/>
          <w:b/>
          <w:bCs/>
          <w:caps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bCs/>
          <w:caps/>
          <w:color w:val="000000" w:themeColor="text1"/>
          <w:sz w:val="24"/>
          <w:szCs w:val="24"/>
        </w:rPr>
      </w:r>
    </w:p>
    <w:p>
      <w:pPr>
        <w:ind w:firstLine="0"/>
        <w:jc w:val="center"/>
        <w:spacing w:before="60" w:after="60" w:line="240" w:lineRule="auto"/>
        <w:rPr>
          <w:rFonts w:ascii="Times New Roman" w:hAnsi="Times New Roman" w:cs="Times New Roman"/>
          <w:b/>
          <w:bCs/>
          <w:i w:val="0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За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прос предложений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 в электронной форме,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участниками которого могут быть только субъекты МСП,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на право заключения договора на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«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ОКПД2 43.99.90. Выполнение работ по техперевооружению комплекса инженерно-технических средств физической защиты Партизанской ГРЭС, в рамках выполнения инвестиционного проекта H_505-ПГг-17, г. Партизанск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»</w:t>
      </w:r>
      <w:r>
        <w:rPr>
          <w:rFonts w:ascii="Times New Roman" w:hAnsi="Times New Roman" w:cs="Times New Roman"/>
          <w:b/>
          <w:bCs/>
          <w:i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bCs/>
          <w:i w:val="0"/>
          <w:color w:val="000000" w:themeColor="text1"/>
          <w:sz w:val="24"/>
          <w:szCs w:val="24"/>
        </w:rPr>
      </w:r>
    </w:p>
    <w:p>
      <w:pPr>
        <w:ind w:firstLine="0"/>
        <w:jc w:val="both"/>
        <w:spacing w:before="60" w:after="60" w:line="240" w:lineRule="auto"/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lang w:eastAsia="en-US"/>
        </w:rPr>
        <w:t xml:space="preserve">                                       (Лот №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lang w:eastAsia="en-US"/>
        </w:rPr>
        <w:t xml:space="preserve">22139016-ТПИР ОБСЛ-2026-ДГК-ПГРЭС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lang w:eastAsia="en-US"/>
        </w:rPr>
        <w:t xml:space="preserve">)</w:t>
      </w:r>
      <w:r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</w:r>
    </w:p>
    <w:p>
      <w:pPr>
        <w:ind w:right="-108" w:firstLine="0"/>
        <w:jc w:val="left"/>
        <w:spacing w:before="60" w:after="60" w:line="240" w:lineRule="auto"/>
        <w:rPr>
          <w:rFonts w:ascii="Times New Roman" w:hAnsi="Times New Roman" w:cs="Times New Roman"/>
          <w:bCs w:val="0"/>
          <w:i w:val="0"/>
          <w:sz w:val="24"/>
          <w:szCs w:val="24"/>
        </w:rPr>
      </w:pPr>
      <w:r>
        <w:rPr>
          <w:rFonts w:ascii="Times New Roman" w:hAnsi="Times New Roman" w:eastAsia="Times New Roman" w:cs="Times New Roman"/>
          <w:i w:val="0"/>
          <w:i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</w:p>
    <w:p>
      <w:pPr>
        <w:ind w:right="-108" w:firstLine="0"/>
        <w:jc w:val="center"/>
        <w:spacing w:before="60" w:after="6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i w:val="0"/>
          <w:i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lang w:eastAsia="en-US"/>
        </w:rPr>
      </w:r>
      <w:r>
        <w:rPr>
          <w:rFonts w:ascii="Times New Roman" w:hAnsi="Times New Roman" w:cs="Times New Roman"/>
          <w:bCs/>
          <w:i/>
          <w:sz w:val="24"/>
          <w:szCs w:val="24"/>
        </w:rPr>
      </w:r>
      <w:r>
        <w:rPr>
          <w:rFonts w:ascii="Times New Roman" w:hAnsi="Times New Roman" w:cs="Times New Roman"/>
          <w:bCs/>
          <w:i/>
          <w:sz w:val="24"/>
          <w:szCs w:val="24"/>
        </w:rPr>
      </w:r>
    </w:p>
    <w:p>
      <w:pPr>
        <w:ind w:left="-108" w:right="-108" w:firstLine="0"/>
        <w:jc w:val="center"/>
        <w:spacing w:before="60" w:after="60" w:line="240" w:lineRule="auto"/>
        <w:rPr>
          <w:rFonts w:ascii="Times New Roman" w:hAnsi="Times New Roman" w:cs="Times New Roman"/>
          <w:bCs/>
          <w:i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</w:r>
      <w:r>
        <w:rPr>
          <w:rFonts w:ascii="Times New Roman" w:hAnsi="Times New Roman" w:cs="Times New Roman"/>
          <w:bCs/>
          <w:i/>
          <w:sz w:val="24"/>
          <w:szCs w:val="24"/>
          <w14:ligatures w14:val="none"/>
        </w:rPr>
      </w:r>
      <w:r>
        <w:rPr>
          <w:rFonts w:ascii="Times New Roman" w:hAnsi="Times New Roman" w:cs="Times New Roman"/>
          <w:bCs/>
          <w:i/>
          <w:sz w:val="24"/>
          <w:szCs w:val="24"/>
          <w14:ligatures w14:val="none"/>
        </w:rPr>
      </w:r>
    </w:p>
    <w:p>
      <w:pPr>
        <w:jc w:val="center"/>
        <w:spacing w:before="0"/>
        <w:rPr>
          <w:rFonts w:ascii="Times New Roman" w:hAnsi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</w:p>
    <w:p>
      <w:pPr>
        <w:jc w:val="center"/>
        <w:spacing w:before="0"/>
        <w:rPr>
          <w:rFonts w:ascii="Times New Roman" w:hAnsi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</w:p>
    <w:p>
      <w:pPr>
        <w:pStyle w:val="1149"/>
        <w:jc w:val="center"/>
        <w:keepNext/>
        <w:spacing w:before="240"/>
        <w:rPr>
          <w:rStyle w:val="1154"/>
          <w:rFonts w:ascii="Times New Roman" w:hAnsi="Times New Roman" w:cs="Times New Roman"/>
          <w:sz w:val="24"/>
          <w:szCs w:val="24"/>
        </w:rPr>
      </w:pPr>
      <w:r>
        <w:rPr>
          <w:rStyle w:val="1154"/>
          <w:rFonts w:ascii="Times New Roman" w:hAnsi="Times New Roman" w:eastAsia="Times New Roman" w:cs="Times New Roman"/>
          <w:sz w:val="24"/>
          <w:szCs w:val="24"/>
        </w:rPr>
      </w:r>
      <w:r>
        <w:rPr>
          <w:rStyle w:val="1154"/>
          <w:rFonts w:ascii="Times New Roman" w:hAnsi="Times New Roman" w:cs="Times New Roman"/>
          <w:sz w:val="24"/>
          <w:szCs w:val="24"/>
        </w:rPr>
      </w:r>
      <w:r>
        <w:rPr>
          <w:rStyle w:val="1154"/>
          <w:rFonts w:ascii="Times New Roman" w:hAnsi="Times New Roman" w:cs="Times New Roman"/>
          <w:sz w:val="24"/>
          <w:szCs w:val="24"/>
        </w:rPr>
      </w:r>
    </w:p>
    <w:p>
      <w:pPr>
        <w:pStyle w:val="1148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Содержание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TOC \o "1-2" \h \z \u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hyperlink w:tooltip="#_Toc1" w:anchor="_Toc1" w:history="1">
        <w:r>
          <w:rPr>
            <w:rStyle w:val="1159"/>
            <w:rFonts w:ascii="Times New Roman" w:hAnsi="Times New Roman" w:eastAsia="Times New Roman" w:cs="Times New Roman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Сокращения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 \h</w:instrText>
          <w:fldChar w:fldCharType="separate"/>
          <w:t xml:space="preserve">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" w:anchor="_Toc2" w:history="1">
        <w:r>
          <w:rPr>
            <w:rStyle w:val="1159"/>
            <w:rFonts w:ascii="Times New Roman" w:hAnsi="Times New Roman" w:eastAsia="Times New Roman" w:cs="Times New Roman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Термины и определения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 \h</w:instrText>
          <w:fldChar w:fldCharType="separate"/>
          <w:t xml:space="preserve">7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" w:anchor="_Toc3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Основные сведения о закупке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 \h</w:instrText>
          <w:fldChar w:fldCharType="separate"/>
          <w:t xml:space="preserve">11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" w:anchor="_Toc4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Статус настоящего раздела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 \h</w:instrText>
          <w:fldChar w:fldCharType="separate"/>
          <w:t xml:space="preserve">11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" w:anchor="_Toc5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Информация о проводимой закупке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 \h</w:instrText>
          <w:fldChar w:fldCharType="separate"/>
          <w:t xml:space="preserve">11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" w:anchor="_Toc6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2.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Общие положения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 \h</w:instrText>
          <w:fldChar w:fldCharType="separate"/>
          <w:t xml:space="preserve">15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7" w:anchor="_Toc7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2.1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Общие сведения о закупке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_Toc7 \h</w:instrText>
          <w:fldChar w:fldCharType="separate"/>
          <w:t xml:space="preserve">15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8" w:anchor="_Toc8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2.2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Правовой статус документов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_Toc8 \h</w:instrText>
          <w:fldChar w:fldCharType="separate"/>
          <w:t xml:space="preserve">15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9" w:anchor="_Toc9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2.3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Обжалование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_Toc9 \h</w:instrText>
          <w:fldChar w:fldCharType="separate"/>
          <w:t xml:space="preserve">16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0" w:anchor="_Toc10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2.4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Особые положения при проведении закупки с использованием ЭП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_Toc10 \h</w:instrText>
          <w:fldChar w:fldCharType="separate"/>
          <w:t xml:space="preserve">17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1" w:anchor="_Toc11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2.5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Прочие положения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_Toc11 \h</w:instrText>
          <w:fldChar w:fldCharType="separate"/>
          <w:t xml:space="preserve">17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2" w:anchor="_Toc12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3.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Требования к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У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частникам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_Toc12 \h</w:instrText>
          <w:fldChar w:fldCharType="separate"/>
          <w:t xml:space="preserve">18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3" w:anchor="_Toc13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3.1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Общие требования к Участникам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_Toc13 \h</w:instrText>
          <w:fldChar w:fldCharType="separate"/>
          <w:t xml:space="preserve">18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4" w:anchor="_Toc14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3.2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Генеральные подрядчики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_Toc14 \h</w:instrText>
          <w:fldChar w:fldCharType="separate"/>
          <w:t xml:space="preserve">18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5" w:anchor="_Toc15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Порядок проведения закупки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_Toc15 \h</w:instrText>
          <w:fldChar w:fldCharType="separate"/>
          <w:t xml:space="preserve">20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6" w:anchor="_Toc16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Общий порядок проведения закупки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_Toc16 \h</w:instrText>
          <w:fldChar w:fldCharType="separate"/>
          <w:t xml:space="preserve">20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7" w:anchor="_Toc17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Официальное размещение Извещения и Документации о закупке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_Toc17 \h</w:instrText>
          <w:fldChar w:fldCharType="separate"/>
          <w:t xml:space="preserve">22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8" w:anchor="_Toc18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4.3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Подготовка заявки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_Toc18 \h</w:instrText>
          <w:fldChar w:fldCharType="separate"/>
          <w:t xml:space="preserve">22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19" w:anchor="_Toc19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4.4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Разъяснение Документации о закупке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_Toc19 \h</w:instrText>
          <w:fldChar w:fldCharType="separate"/>
          <w:t xml:space="preserve">25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0" w:anchor="_Toc20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4.5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Изменения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Извещени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я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(или)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Документаци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о закупке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_Toc20 \h</w:instrText>
          <w:fldChar w:fldCharType="separate"/>
          <w:t xml:space="preserve">25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1" w:anchor="_Toc21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4.6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Подача заявок и их прием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_Toc21 \h</w:instrText>
          <w:fldChar w:fldCharType="separate"/>
          <w:t xml:space="preserve">26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2" w:anchor="_Toc22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4.7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Изменение и отзыв заявок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_Toc22 \h</w:instrText>
          <w:fldChar w:fldCharType="separate"/>
          <w:t xml:space="preserve">27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3" w:anchor="_Toc23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4.8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Открытие доступа к первым частям заявок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_Toc23 \h</w:instrText>
          <w:fldChar w:fldCharType="separate"/>
          <w:t xml:space="preserve">27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4" w:anchor="_Toc24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4.9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Рассмотрение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первых частей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заявок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(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отборочная стадия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)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_Toc24 \h</w:instrText>
          <w:fldChar w:fldCharType="separate"/>
          <w:t xml:space="preserve">27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5" w:anchor="_Toc25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4.10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Открытие доступа ко вторым частям заявок и ценовым предложениям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_Toc25 \h</w:instrText>
          <w:fldChar w:fldCharType="separate"/>
          <w:t xml:space="preserve">29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6" w:anchor="_Toc26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Рассмотрение вторых частей заявок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(отборочная стадия)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, в том числе (при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необходимости) проведение аккредитации,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и ценовых предложений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_Toc26 \h</w:instrText>
          <w:fldChar w:fldCharType="separate"/>
          <w:t xml:space="preserve">29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7" w:anchor="_Toc27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Дополнительные запросы разъяснений заявок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_Toc27 \h</w:instrText>
          <w:fldChar w:fldCharType="separate"/>
          <w:t xml:space="preserve">31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8" w:anchor="_Toc28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4.13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Оценка и сопоставление заявок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_Toc28 \h</w:instrText>
          <w:fldChar w:fldCharType="separate"/>
          <w:t xml:space="preserve">32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29" w:anchor="_Toc29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4.14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Применение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законодательства о национальном режиме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_Toc29 \h</w:instrText>
          <w:fldChar w:fldCharType="separate"/>
          <w:t xml:space="preserve">33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0" w:anchor="_Toc30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4.15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одведение итогов закупки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(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пределение Победителя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)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_Toc30 \h</w:instrText>
          <w:fldChar w:fldCharType="separate"/>
          <w:t xml:space="preserve">33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1" w:anchor="_Toc31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4.16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Признание закупки несостоявшейся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_Toc31 \h</w:instrText>
          <w:fldChar w:fldCharType="separate"/>
          <w:t xml:space="preserve">35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2" w:anchor="_Toc32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4.17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Отказ от проведения закупки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(отмена закупки)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_Toc32 \h</w:instrText>
          <w:fldChar w:fldCharType="separate"/>
          <w:t xml:space="preserve">36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3" w:anchor="_Toc33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4.18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Особенности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проведения закупки с необходимостью обеспечения заявки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_Toc33 \h</w:instrText>
          <w:fldChar w:fldCharType="separate"/>
          <w:t xml:space="preserve">36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4" w:anchor="_Toc34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4.19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Особенности проведения м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ноголотов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ой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закупк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_Toc34 \h</w:instrText>
          <w:fldChar w:fldCharType="separate"/>
          <w:t xml:space="preserve">39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5" w:anchor="_Toc35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5.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орядок заключения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Д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оговора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_Toc35 \h</w:instrText>
          <w:fldChar w:fldCharType="separate"/>
          <w:t xml:space="preserve">41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6" w:anchor="_Toc36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5.1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Общие положения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_Toc36 \h</w:instrText>
          <w:fldChar w:fldCharType="separate"/>
          <w:t xml:space="preserve">41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7" w:anchor="_Toc37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5.2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Заключение Договора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_Toc37 \h</w:instrText>
          <w:fldChar w:fldCharType="separate"/>
          <w:t xml:space="preserve">41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8" w:anchor="_Toc38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5.3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Уклонение Победителя от заключения Договора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_Toc38 \h</w:instrText>
          <w:fldChar w:fldCharType="separate"/>
          <w:t xml:space="preserve">43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39" w:anchor="_Toc39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6.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Приложение № 1 – Технические требования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_Toc39 \h</w:instrText>
          <w:fldChar w:fldCharType="separate"/>
          <w:t xml:space="preserve">44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0" w:anchor="_Toc40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6.1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Пояснения к Техническим требованиям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_Toc40 \h</w:instrText>
          <w:fldChar w:fldCharType="separate"/>
          <w:t xml:space="preserve">44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1" w:anchor="_Toc41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7.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Приложение № 2 – Проект договора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_Toc41 \h</w:instrText>
          <w:fldChar w:fldCharType="separate"/>
          <w:t xml:space="preserve">45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2" w:anchor="_Toc42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7.1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Пояснения к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роекту договора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_Toc42 \h</w:instrText>
          <w:fldChar w:fldCharType="separate"/>
          <w:t xml:space="preserve">45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3" w:anchor="_Toc43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8.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Приложение №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3 – Требования к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У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частникам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_Toc43 \h</w:instrText>
          <w:fldChar w:fldCharType="separate"/>
          <w:t xml:space="preserve">46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4" w:anchor="_Toc44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8.1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Пояснения к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требованиям к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У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частникам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_Toc44 \h</w:instrText>
          <w:fldChar w:fldCharType="separate"/>
          <w:t xml:space="preserve">46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5" w:anchor="_Toc45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8.2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Обязательные требования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_Toc45 \h</w:instrText>
          <w:fldChar w:fldCharType="separate"/>
          <w:t xml:space="preserve">46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6" w:anchor="_Toc46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8.3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  <w:highlight w:val="white"/>
          </w:rPr>
          <w:t xml:space="preserve">Специальные требования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  <w:highlight w:val="white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_Toc46 \h</w:instrText>
          <w:fldChar w:fldCharType="separate"/>
          <w:t xml:space="preserve">49</w:t>
          <w:fldChar w:fldCharType="end"/>
        </w:r>
      </w:hyperlink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7" w:anchor="_Toc47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8.4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Дополнительные т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ребования к Генеральным подрядчикам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_Toc47 \h</w:instrText>
          <w:fldChar w:fldCharType="separate"/>
          <w:t xml:space="preserve">50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8" w:anchor="_Toc48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9.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4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–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Образцы форм документов, включаемых в состав заявки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_Toc48 \h</w:instrText>
          <w:fldChar w:fldCharType="separate"/>
          <w:t xml:space="preserve">52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49" w:anchor="_Toc49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9.1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Пояснения к Образца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м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форм документов, включаемых в состав заявки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_Toc49 \h</w:instrText>
          <w:fldChar w:fldCharType="separate"/>
          <w:t xml:space="preserve">52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0" w:anchor="_Toc50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10.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Приложение № 5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– 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Образцы форм документов, предоставляемых Победителем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_Toc50 \h</w:instrText>
          <w:fldChar w:fldCharType="separate"/>
          <w:t xml:space="preserve">53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1" w:anchor="_Toc51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10.1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Пояснения к Образцам форм документов, предоставляемых Победителем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_Toc51 \h</w:instrText>
          <w:fldChar w:fldCharType="separate"/>
          <w:t xml:space="preserve">53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2" w:anchor="_Toc52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10.2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Форма справки «Сведения о цепочке собственников, включая бенефициаров (в том числе конечных)»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_Toc52 \h</w:instrText>
          <w:fldChar w:fldCharType="separate"/>
          <w:t xml:space="preserve">53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3" w:anchor="_Toc53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10.3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Форма «Заверение об обстоятельствах»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_Toc53 \h</w:instrText>
          <w:fldChar w:fldCharType="separate"/>
          <w:t xml:space="preserve">53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4" w:anchor="_Toc54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11.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Приложение №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6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– Состав заявки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_Toc54 \h</w:instrText>
          <w:fldChar w:fldCharType="separate"/>
          <w:t xml:space="preserve">55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5" w:anchor="_Toc55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11.1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Состав заявки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_Toc55 \h</w:instrText>
          <w:fldChar w:fldCharType="separate"/>
          <w:t xml:space="preserve">55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6" w:anchor="_Toc56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12.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Приложение №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7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– Отборочные критерии рассмотрения заявок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_Toc56 \h</w:instrText>
          <w:fldChar w:fldCharType="separate"/>
          <w:t xml:space="preserve">58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7" w:anchor="_Toc57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12.1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Отборочные критерии рассмотрения </w:t>
        </w:r>
        <w:r>
          <w:rPr>
            <w:rStyle w:val="115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первых частей </w:t>
        </w:r>
        <w:r>
          <w:rPr>
            <w:rStyle w:val="115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заявок</w:t>
        </w:r>
        <w:r>
          <w:rPr>
            <w:rStyle w:val="115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_Toc57 \h</w:instrText>
          <w:fldChar w:fldCharType="separate"/>
          <w:t xml:space="preserve">58</w:t>
          <w:fldChar w:fldCharType="end"/>
        </w:r>
      </w:hyperlink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8" w:anchor="_Toc58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12.2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Отборочные критерии рассмотрения вторых частей заявок</w:t>
        </w:r>
        <w:r>
          <w:rPr>
            <w:rStyle w:val="115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_Toc58 \h</w:instrText>
          <w:fldChar w:fldCharType="separate"/>
          <w:t xml:space="preserve">59</w:t>
          <w:fldChar w:fldCharType="end"/>
        </w:r>
      </w:hyperlink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9" w:anchor="_Toc59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12.3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Отборочные критерии рассмотрения ценовых предложений</w:t>
        </w:r>
        <w:r>
          <w:rPr>
            <w:rStyle w:val="115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_Toc59 \h</w:instrText>
          <w:fldChar w:fldCharType="separate"/>
          <w:t xml:space="preserve">62</w:t>
          <w:fldChar w:fldCharType="end"/>
        </w:r>
      </w:hyperlink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0" w:anchor="_Toc60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12.4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Дополнительные</w:t>
        </w:r>
        <w:r>
          <w:rPr>
            <w:rStyle w:val="115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 критерии проверки заяв</w:t>
        </w:r>
        <w:r>
          <w:rPr>
            <w:rStyle w:val="115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ок</w:t>
        </w:r>
        <w:r>
          <w:rPr>
            <w:rStyle w:val="115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 на соответстви</w:t>
        </w:r>
        <w:r>
          <w:rPr>
            <w:rStyle w:val="115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е</w:t>
        </w:r>
        <w:r>
          <w:rPr>
            <w:rStyle w:val="115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  <w:t xml:space="preserve"> условиям Документации о закупке</w:t>
        </w:r>
        <w:r>
          <w:rPr>
            <w:rStyle w:val="1159"/>
            <w:rFonts w:ascii="Times New Roman" w:hAnsi="Times New Roman" w:eastAsia="Times New Roman" w:cs="Times New Roman"/>
            <w:i w:val="0"/>
            <w:iCs w:val="0"/>
            <w:sz w:val="24"/>
            <w:szCs w:val="24"/>
            <w:shd w:val="clear" w:color="auto" w:fill="auto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_Toc60 \h</w:instrText>
          <w:fldChar w:fldCharType="separate"/>
          <w:t xml:space="preserve">63</w:t>
          <w:fldChar w:fldCharType="end"/>
        </w:r>
      </w:hyperlink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p>
      <w:pPr>
        <w:pStyle w:val="116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1" w:anchor="_Toc61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13.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Приложение №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8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– Порядок и критерии оценки и сопоставления заявок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_Toc61 \h</w:instrText>
          <w:fldChar w:fldCharType="separate"/>
          <w:t xml:space="preserve">65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2" w:anchor="_Toc62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13.1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Порядок и критерии оценки и сопоставления заявок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_Toc62 \h</w:instrText>
          <w:fldChar w:fldCharType="separate"/>
          <w:t xml:space="preserve">65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3" w:anchor="_Toc63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14.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9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– Обоснование НМЦ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_Toc63 \h</w:instrText>
          <w:fldChar w:fldCharType="separate"/>
          <w:t xml:space="preserve">69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4" w:anchor="_Toc64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14.1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Пояснения к Обоснованию НМЦ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_Toc64 \h</w:instrText>
          <w:fldChar w:fldCharType="separate"/>
          <w:t xml:space="preserve">69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5" w:anchor="_Toc65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15.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Приложение № 1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0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 – Форма Заявки на аккредитацию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_Toc65 \h</w:instrText>
          <w:fldChar w:fldCharType="separate"/>
          <w:t xml:space="preserve">70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61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66" w:anchor="_Toc66" w:history="1">
        <w:r>
          <w:rPr>
            <w:rFonts w:ascii="Times New Roman" w:hAnsi="Times New Roman" w:eastAsia="Times New Roman" w:cs="Times New Roman" w:eastAsiaTheme="minorHAnsi"/>
            <w:sz w:val="24"/>
            <w:szCs w:val="24"/>
          </w:rPr>
          <w:t xml:space="preserve">15.1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  <w:t xml:space="preserve">Пояснения к форме Заявки на аккредитацию</w:t>
        </w:r>
        <w:r>
          <w:rPr>
            <w:rStyle w:val="1159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_Toc66 \h</w:instrText>
          <w:fldChar w:fldCharType="separate"/>
          <w:t xml:space="preserve">70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keepNext/>
        <w:spacing w:before="60"/>
        <w:rPr>
          <w:rStyle w:val="1180"/>
          <w:rFonts w:ascii="Times New Roman" w:hAnsi="Times New Roman" w:cs="Times New Roman"/>
          <w:sz w:val="24"/>
          <w:szCs w:val="24"/>
        </w:rPr>
      </w:pP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[Примечание (дополнительные удобства работы с Документацией о закупке; 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Microsoft Word | </w:t>
      </w:r>
      <w:r>
        <w:rPr>
          <w:rStyle w:val="1180"/>
          <w:rFonts w:ascii="Times New Roman" w:hAnsi="Times New Roman" w:eastAsia="Times New Roman" w:cs="Times New Roman"/>
          <w:color w:val="4472c4" w:themeColor="accent1"/>
          <w:sz w:val="24"/>
          <w:szCs w:val="24"/>
        </w:rPr>
        <w:t xml:space="preserve">AlterOffice AText – отмечены отличая для данного текстового редактора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):</w:t>
      </w:r>
      <w:r>
        <w:rPr>
          <w:rStyle w:val="1180"/>
          <w:rFonts w:ascii="Times New Roman" w:hAnsi="Times New Roman" w:cs="Times New Roman"/>
          <w:sz w:val="24"/>
          <w:szCs w:val="24"/>
        </w:rPr>
      </w:r>
      <w:r>
        <w:rPr>
          <w:rStyle w:val="1180"/>
          <w:rFonts w:ascii="Times New Roman" w:hAnsi="Times New Roman" w:cs="Times New Roman"/>
          <w:sz w:val="24"/>
          <w:szCs w:val="24"/>
        </w:rPr>
      </w:r>
    </w:p>
    <w:p>
      <w:pPr>
        <w:pStyle w:val="1149"/>
        <w:numPr>
          <w:ilvl w:val="0"/>
          <w:numId w:val="13"/>
        </w:numPr>
        <w:ind w:left="284" w:hanging="284"/>
        <w:spacing w:before="60"/>
        <w:rPr>
          <w:rStyle w:val="1180"/>
          <w:rFonts w:ascii="Times New Roman" w:hAnsi="Times New Roman" w:cs="Times New Roman"/>
          <w:sz w:val="24"/>
          <w:szCs w:val="24"/>
        </w:rPr>
      </w:pP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для навигации рекомендуется использовать боковое меню – включается на вкладке «Вид» в разделе «Отображение» опцией «Область навигации»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| </w:t>
      </w:r>
      <w:r>
        <w:rPr>
          <w:rStyle w:val="1180"/>
          <w:rFonts w:ascii="Times New Roman" w:hAnsi="Times New Roman" w:eastAsia="Times New Roman" w:cs="Times New Roman"/>
          <w:color w:val="4472c4" w:themeColor="accent1"/>
          <w:sz w:val="24"/>
          <w:szCs w:val="24"/>
        </w:rPr>
        <w:t xml:space="preserve">включается на вкладке «Вид» опцией «Навигатор»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Style w:val="1180"/>
          <w:rFonts w:ascii="Times New Roman" w:hAnsi="Times New Roman" w:cs="Times New Roman"/>
          <w:sz w:val="24"/>
          <w:szCs w:val="24"/>
        </w:rPr>
      </w:r>
      <w:r>
        <w:rPr>
          <w:rStyle w:val="1180"/>
          <w:rFonts w:ascii="Times New Roman" w:hAnsi="Times New Roman" w:cs="Times New Roman"/>
          <w:sz w:val="24"/>
          <w:szCs w:val="24"/>
        </w:rPr>
      </w:r>
    </w:p>
    <w:p>
      <w:pPr>
        <w:pStyle w:val="1149"/>
        <w:numPr>
          <w:ilvl w:val="0"/>
          <w:numId w:val="13"/>
        </w:numPr>
        <w:ind w:left="284" w:hanging="284"/>
        <w:spacing w:before="60"/>
        <w:rPr>
          <w:rStyle w:val="1180"/>
          <w:rFonts w:ascii="Times New Roman" w:hAnsi="Times New Roman" w:cs="Times New Roman"/>
          <w:sz w:val="24"/>
          <w:szCs w:val="24"/>
        </w:rPr>
      </w:pP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переход по перекрестным и другим ссылкам осуществляется левым кликом мыши с</w:t>
      </w:r>
      <w:r>
        <w:rPr>
          <w:rStyle w:val="1180"/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зажатой клавишей Ctrl, обратный возврат на место в тексте, с котор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ого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 был 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сделан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 переход, осуществляется нажатием стрелки влево (←) с зажатой левой клавишей Alt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Style w:val="1180"/>
          <w:rFonts w:ascii="Times New Roman" w:hAnsi="Times New Roman" w:eastAsia="Times New Roman" w:cs="Times New Roman"/>
          <w:color w:val="4472c4" w:themeColor="accent1"/>
          <w:sz w:val="24"/>
          <w:szCs w:val="24"/>
        </w:rPr>
        <w:t xml:space="preserve">(обратный переход функционально не реализован в AlterOffice AText, пользуйтесь функциональностью «Навигатор»)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Style w:val="1180"/>
          <w:rFonts w:ascii="Times New Roman" w:hAnsi="Times New Roman" w:cs="Times New Roman"/>
          <w:sz w:val="24"/>
          <w:szCs w:val="24"/>
        </w:rPr>
      </w:r>
      <w:r>
        <w:rPr>
          <w:rStyle w:val="1180"/>
          <w:rFonts w:ascii="Times New Roman" w:hAnsi="Times New Roman" w:cs="Times New Roman"/>
          <w:sz w:val="24"/>
          <w:szCs w:val="24"/>
        </w:rPr>
      </w:r>
    </w:p>
    <w:p>
      <w:pPr>
        <w:pStyle w:val="1149"/>
        <w:numPr>
          <w:ilvl w:val="0"/>
          <w:numId w:val="13"/>
        </w:numPr>
        <w:ind w:left="284" w:hanging="284"/>
        <w:spacing w:before="60"/>
        <w:rPr>
          <w:rStyle w:val="1180"/>
          <w:rFonts w:ascii="Times New Roman" w:hAnsi="Times New Roman" w:cs="Times New Roman"/>
          <w:sz w:val="24"/>
          <w:szCs w:val="24"/>
        </w:rPr>
      </w:pP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открытие внедренного в текст документа (файла) осуществляется по двойному клику левой клавиши мыши по соответствующей иконк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 документа (файла) в</w:t>
      </w:r>
      <w:r>
        <w:rPr>
          <w:rStyle w:val="1180"/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тексте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Style w:val="1180"/>
          <w:rFonts w:ascii="Times New Roman" w:hAnsi="Times New Roman" w:cs="Times New Roman"/>
          <w:sz w:val="24"/>
          <w:szCs w:val="24"/>
        </w:rPr>
      </w:r>
      <w:r>
        <w:rPr>
          <w:rStyle w:val="1180"/>
          <w:rFonts w:ascii="Times New Roman" w:hAnsi="Times New Roman" w:cs="Times New Roman"/>
          <w:sz w:val="24"/>
          <w:szCs w:val="24"/>
        </w:rPr>
      </w:r>
    </w:p>
    <w:p>
      <w:pPr>
        <w:pStyle w:val="1149"/>
        <w:numPr>
          <w:ilvl w:val="0"/>
          <w:numId w:val="13"/>
        </w:numPr>
        <w:ind w:left="284" w:hanging="284"/>
        <w:spacing w:before="60"/>
        <w:rPr>
          <w:rStyle w:val="1180"/>
          <w:rFonts w:ascii="Times New Roman" w:hAnsi="Times New Roman" w:cs="Times New Roman"/>
          <w:sz w:val="24"/>
          <w:szCs w:val="24"/>
        </w:rPr>
      </w:pPr>
      <w:r>
        <w:rPr>
          <w:rStyle w:val="1180"/>
          <w:rFonts w:ascii="Times New Roman" w:hAnsi="Times New Roman" w:eastAsia="Times New Roman" w:cs="Times New Roman"/>
          <w:color w:val="4472c4" w:themeColor="accent1"/>
          <w:sz w:val="24"/>
          <w:szCs w:val="24"/>
        </w:rPr>
        <w:t xml:space="preserve">отключение затенения серыми блоками по тексту объектов, в том числе некоторых неразрывных пробелов и перекрестных ссылок: Ctrl + F8 (только для AlterOffice AText)</w:t>
      </w:r>
      <w:r>
        <w:rPr>
          <w:rStyle w:val="1180"/>
          <w:rFonts w:ascii="Times New Roman" w:hAnsi="Times New Roman" w:eastAsia="Times New Roman" w:cs="Times New Roman"/>
          <w:sz w:val="24"/>
          <w:szCs w:val="24"/>
        </w:rPr>
        <w:t xml:space="preserve">.]</w:t>
      </w:r>
      <w:r>
        <w:rPr>
          <w:rStyle w:val="1180"/>
          <w:rFonts w:ascii="Times New Roman" w:hAnsi="Times New Roman" w:cs="Times New Roman"/>
          <w:sz w:val="24"/>
          <w:szCs w:val="24"/>
        </w:rPr>
      </w:r>
      <w:r>
        <w:rPr>
          <w:rStyle w:val="1180"/>
          <w:rFonts w:ascii="Times New Roman" w:hAnsi="Times New Roman" w:cs="Times New Roman"/>
          <w:sz w:val="24"/>
          <w:szCs w:val="24"/>
        </w:rPr>
      </w:r>
    </w:p>
    <w:p>
      <w:pPr>
        <w:pStyle w:val="1148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58" w:name="_Toc1"/>
      <w:r>
        <w:rPr>
          <w:rFonts w:ascii="Times New Roman" w:hAnsi="Times New Roman" w:eastAsia="Times New Roman" w:cs="Times New Roman"/>
          <w:sz w:val="24"/>
          <w:szCs w:val="24"/>
        </w:rPr>
        <w:t xml:space="preserve">Сокращения</w:t>
      </w:r>
      <w:bookmarkEnd w:id="35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ГК РФ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Гражданской кодекс Российской Федерации.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Декларация ПИРААП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декларация о подтверждении использования 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изготовлении продукции российского алюминия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его полуфабрикатов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указанием их доли в общем объеме используемого алюминия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его полуфабрикатов в натуральном выражении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ЕГРИП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диный государственный реестр индивидуальных предпринимателей.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ЕГРЮЛ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диный государственный реестр юридических лиц.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ЕИС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диная информационная система в сфере закупок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Закон 44-ФЗ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Федеральный закон от 05.04.2013 № 44-ФЗ «О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контрактной системе в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сфере закупок товаров, работ, услуг для обеспечения государственных и муниципальных нужд».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Закон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209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-ФЗ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Федеральны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закон от 24.07.2007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209-ФЗ «О развитии малого и среднего предпринимательства в Российской Федерации»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Закон 223-ФЗ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Федеральный закон от 18.07.2011 № 223-ФЗ «О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закупках товаров, работ, услуг отдельными видами юридических лиц».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Закон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255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-ФЗ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Федеральны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закон от 14.07.2022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255-ФЗ «О контроле за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деятельностью лиц, находящихся под иностранным влиянием»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Закон 422-ФЗ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Федеральны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закон от 27.11.2018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422-ФЗ «О проведении эксперимента по установлению специального налогового режима «Налог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профессиональный доход»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Законодательство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законодательство Российской Федерации (если в тексте настояще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й Документации о закупке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прямо не указано иное)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Извещение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звещение о проведении настоящей 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ИНН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идентификационный номер налогоплательщика.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ИФНС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инспекция Федеральной налоговой службы Российской Федерации.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МТР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материально-технические ресурсы.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НДС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налог на добавленную стоимость.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НМЦ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начальная (максимальная) цена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Оператор 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оператор электронной площадки.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Официальный сайт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официальный сайт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диной информационной системы в сфере закупок, расположенный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сети Интернет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URL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адресу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https://zakupki.gov.ru/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Положение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Единое Положение о закупке продукции для нужд Группы РусГидро.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Положение об аккредитации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Единое Положение об аккредитации поставщиков продукции в Группе РусГидро, размещенное на Официальном сайте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составе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Положени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 закупке).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ПП 395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постановление Правительства Российской Федерации от 18.03.2022 № 395 «Об особенностях доступа к информации, содержащейся в государственном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информационном ресурсе бухгалтерской (финансовой) отчетности, и раскрытия консолидированной финансовой отчетности в 2022 году».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ПП 1352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постановление Правительства от 11.12.2014 № 1352 «Об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ПП 1875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постановление Правительства от 23.12.2024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1875 «О мерах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Реестр МСП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единый реестр субъектов малого и среднего предпринимательства, ведение которого осуществляется в соответствии с Законом 209-ФЗ.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Стороны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Организатор, Заказчик и Участники, являющиеся сторонами данной закупки (при совместном упоминании).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Субъект МСП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субъект малого и среднего предпринимательства.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электронная площадка.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8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59" w:name="_Toc2"/>
      <w:r>
        <w:rPr>
          <w:rFonts w:ascii="Times New Roman" w:hAnsi="Times New Roman" w:eastAsia="Times New Roman" w:cs="Times New Roman"/>
          <w:sz w:val="24"/>
          <w:szCs w:val="24"/>
        </w:rPr>
        <w:t xml:space="preserve">Термины и определения</w:t>
      </w:r>
      <w:bookmarkEnd w:id="35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Аккредитация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процедура проверки заявителей (потенциальных поставщиков)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 соответствие требованиям в отношении их правоспособности, благонадежности и деловой репутации, с целью включения их в Реестр аккредитации для обеспечения (в этой части) допуска к участию в закупках, проводимых в Группе РусГидро. Аккредитация проводится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целью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защиты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интересов Заказчика от действий недобросовестных лиц и неблагонадежных поставщиков продукции при проведении закупочных процедур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 выборе Победителя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 является проявлением коммерческой осмотрительности Заказчика при заключении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(-ов) по результатам закупки. Порядок проведения данной процедуры представлен в Положени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об аккредитации.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Актуализация статуса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аккредитации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процедура повторной проверки определенного (конкретного) ранее аккредитованного Поставщика на предмет соответствия его установленным критериям аккредитации (или наличия оснований,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которым прохождение аккредитации не требуется), с продлением срока действия его аккредитации в случае положительного результата такой проверки; при этом от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Поставщика (Участника) не требуется повторное заполнение Заявки на аккредитацию.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Вторая часть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комплект докум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ентов, входящих в состав заявки и содержащих сведения об Участнике и информацию о его соответствии требованиям Документации о 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 законодательством (в случае установления таких требований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закупке), а также информацию и документы, необходимые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осуществления оценки заявки в отношении Участника (в случае установления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 соответствующих критериев и порядка оценки) (без указания сведений о ценовом предложении Участника).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Генеральный подрядчик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подрядчик, привлекающий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исполнению своих обязательств по договору с Заказчиком третьих лиц (субподрядчиков). Под генеральным подрядчиком и субподрядчиками понимаются соответственно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также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генеральный исполнитель и соисполнители, генеральный поставщик и субпоставщики, в зависимости от предмета 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Документация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комплект документов, содержащий всю необходимую согласно законодательству информацию о закупке и условиях ее проведения.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Единая информационная система в сфере закупок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совокупность информации, содержащейся в базах данных, информационных технологий и техничес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ких средств, обеспечивающих формирование, обработку, хранение такой информации,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Единый реестр субъектов малого и среднего предпринимательства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реестр, являющийся официальным источником сведений о юридических лицах и 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индивидуальных предпринимателях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отнесенных по законодательству к таковым, и размещенный в сети Интернет на официальном сайте федерального органа исполнительной власти Российской Федерации, осуществляющего функции по контролю и надзору за соблюдением законодательства о налогах и сборах.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Заказчик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юридическое лицо, в интересах и за счет средств, которого осуществляется закупка.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Закупка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последовательность действий, осуществляемая в 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требованиями законодательства, Положением о закупке, иными локальными нормативными документами (актами) Заказчика, а для конкурентной закупки (и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неконкурентной, проводимой способом состязательный отбор) дополнительно – правилами, установленными Извещением и Документацией о закупке, в результате которой производится выбор поставщика с целью заключения договора на приобретение продукции.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Закупочная комиссия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коллегиальный орган, принимающий решения о ходе проведения соответствующей закупки (в том числе по выбору ее победителя)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Заявка (заявка на участие в закупке)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 (комплект документов), содержащий предложения Участника,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условиях, определенных Заказчиком: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конкурентных закупок – в Извещении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(или) Документацией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Заявка на аккредитацию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сведения, которые Заявитель предоставляет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установленном Положением 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аккредитации порядке для прохождения аккредитации.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Извещение о закупке (Извещение)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документ, предназначенный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потенциальных Участников, публикация (размещение) которого означает официальное объявление о начале закупки (информация в объеме, определенном частью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9 статьи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 Закона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223-ФЗ и Положением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); под данным документом и соответственно его размещением также подразумевается заполнение и создание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Официальном сайте (ЕИС)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(или) ЭП соответствующей страницы на указанных ресурсах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информацией об объявленной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Интеллектуальные системы управления электросетевым хозяйством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системы удален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ного мониторинга и диагностики, интеллектуальные системы учета электрической энергии (мощности), автоматизированные системы управления технологическими процессами подстанций, автоматизированные системы технологического управления центров управления сетями.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Лот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продукция, на которую в рамках закупки допускаются подача отдельного предложения и заключение отдельного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Мониторинг аккредитованных поставщиков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процедура выборочной повторной проверки любого ранее аккредитованного Пос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тавщика на предмет соответствия его установленным критериям аккредитации (или наличия оснований, по которым прохождение аккредитации не требуется), без продления срока действия его аккредитации в случае положительного результата такой проверки; при этом от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Поставщика (Участника) не требуется повторное заполнение Заявки на аккредитацию.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Начальная (максимальная) цена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предельно допустимая цена договора (лота, единицы продукции), превышение которой исключает возможность заключения договора / недопустимо для заключения договора по итогам проведения 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Оператор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электронной площадки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юридическое лицо, соответствующее требованиям законодательства, владеющее электронной площадкой и обеспечивающее проведение закупок в электронной форме в соответствии с положениями законодательства.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Организатор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 или действующее по договору с ним юридическое лицо, выступающее Сторонним организатором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Официальное размещение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размещение информации о закупке в ЕИС,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Официальном сайте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bookmarkStart w:id="2" w:name="_Hlk149048701"/>
      <w:r>
        <w:rPr>
          <w:rFonts w:ascii="Times New Roman" w:hAnsi="Times New Roman" w:eastAsia="Times New Roman" w:cs="Times New Roman"/>
          <w:sz w:val="24"/>
          <w:szCs w:val="24"/>
        </w:rPr>
        <w:t xml:space="preserve">(с размещением коп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bookmarkEnd w:id="2"/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Если окончание срока размещения приходится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нерабочий день согласно законодательству, сведения размещаются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первый рабочий день, следующий за нерабочими днями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Первая часть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комплект документов, входящих в состав заявки и содержащих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его ценовом предложении), 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также информацию и документы, необходимые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осуществления оценки заявки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отношении предлагаемой к поставке продукции (в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случае установления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 соответствующих критериев и порядка оценки).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Победитель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Участник, заявка которого соответствует требованиям Документации о закупке и который предложил лучшие условия исполнения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 на основании критериев оценки в соответствии с Документацией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случае признания закупки несостоявшейся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динственный участник такой закупки,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которым Заказчик приня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решение заключить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 по результатам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оговоренных Положением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 случаях приобретает обязательства Победителя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заключению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любое юридическое или физическое лицо, способное на законных основаниях поставить Заказчику требуемую продукцию. Под поставщиком продукции при закупке работ / услуг понимается соответственно подрядчик / исполнитель.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Предмет закупки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/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предмет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конкретная продукция, которую предполагается закупить в объеме и на условиях, определенных Заказчиком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Преференция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преимущество, которое Заказчик предоставляет определенным группам поставщиков при проведении закупок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соответствии с Единым Положением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 продукции для нужд Группы РусГидро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Применение законодательства о национальном режиме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обеспечение (либо необеспечение)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иностранным юридическим лицом, равные условия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 нормами, установленными законодательством.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Программное обеспечение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программное обеспечение, включенное в единый реестр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Минцифры России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российских программ для электронных вычислительных машин и баз данных, используемое в качестве компонента интеллектуальных систем управления электросетевым хозяйством.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Продукция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товары, работы, услуги, приобретаемые Заказчиком на возмездной основе; в том числе в контексте «поставка продукции»: поставка товаров, выполнение работ, оказание услуг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Реестр аккредитации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перечень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лиц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Заявителей, подававших Заявки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аккредитацию с указанием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отношении них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результатов процедуры аккредитации.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Субъект малого и среднего предпринимательства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определяется в соответствии с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Законом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209-ФЗ. Все условия и требования данной Документации о закупке, относящиеся к субъектам МСП, распространяются также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физических лиц,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являющихся индивидуальными предпринимателями и применяющих специальный налоговый режим «Налог на профессиональный доход»</w:t>
      </w:r>
      <w:r>
        <w:rPr>
          <w:rStyle w:val="1157"/>
          <w:rFonts w:ascii="Times New Roman" w:hAnsi="Times New Roman" w:eastAsia="Times New Roman" w:cs="Times New Roman"/>
          <w:sz w:val="24"/>
          <w:szCs w:val="24"/>
        </w:rPr>
        <w:footnoteReference w:id="2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если иное не установлено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Уполномоченное лицо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руководитель организации, действующий на основании устава, или уполномоченное им лицо, действующее на основании доверенности на осуществление действий от имени организации, полномочия которых подтверждены соответствующими документами.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Участник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любое юридическое лицо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независимо от организационно-правовой формы, формы собственности, места нахождения и места происхождения капитала (за исключением юридического лица, являющегося иностранным агентом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Законом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255-ФЗ), либо любое физическое лицо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 том числе индивидуальный предприниматель (за исключением физического лица, являющегося иностранным агентом в 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Законом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255-ФЗ)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выразившее заинтересованность в участии в закупке (посредством получения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закупке, направления запроса о разъяснении Документации о закупке, внесения обеспечения заявки или подачи заявки на участие в закупке)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Ценовое предложение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комплект документов, входящих в состав заявки, но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подаваемых отдельно от первой и второй частей заявки и содержащих предложение Участника о цене Договора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каждой единицы продукции, являющейся предметом Договора,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формулу расчета цены Договора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расходы на эксплуатацию и ремонт товаров, использование результатов работ / услуг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любые иные сведения / документы, требуемые в соответствии с Документацией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 и содержащие информацию о ценовых параметрах предложения Участника.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0" w:name="_Toc3"/>
      <w:r>
        <w:rPr>
          <w:rFonts w:ascii="Times New Roman" w:hAnsi="Times New Roman" w:eastAsia="Times New Roman" w:cs="Times New Roman"/>
          <w:sz w:val="24"/>
          <w:szCs w:val="24"/>
        </w:rPr>
      </w:r>
      <w:bookmarkStart w:id="3" w:name="_Ref125359988"/>
      <w:r>
        <w:rPr>
          <w:rFonts w:ascii="Times New Roman" w:hAnsi="Times New Roman" w:eastAsia="Times New Roman" w:cs="Times New Roman"/>
          <w:sz w:val="24"/>
          <w:szCs w:val="24"/>
        </w:rPr>
        <w:t xml:space="preserve">Основные сведения о закупке</w:t>
      </w:r>
      <w:bookmarkEnd w:id="3"/>
      <w:r>
        <w:rPr>
          <w:rFonts w:ascii="Times New Roman" w:hAnsi="Times New Roman" w:eastAsia="Times New Roman" w:cs="Times New Roman"/>
          <w:sz w:val="24"/>
          <w:szCs w:val="24"/>
        </w:rPr>
      </w:r>
      <w:bookmarkEnd w:id="36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1" w:name="_Toc4"/>
      <w:r>
        <w:rPr>
          <w:rFonts w:ascii="Times New Roman" w:hAnsi="Times New Roman" w:eastAsia="Times New Roman" w:cs="Times New Roman"/>
          <w:sz w:val="24"/>
          <w:szCs w:val="24"/>
        </w:rPr>
        <w:t xml:space="preserve">Статус настоящего раздела</w:t>
      </w:r>
      <w:bookmarkEnd w:id="36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настоящем разделе содержатся основные сведения о предмете, способе и иных ключевых условиях проводимой 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Здесь и далее все используемые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ссылки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относятся к соответствующим пунктам, разделам и подразделам Документации о закупке, если прямо не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иное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 ссылки на приложения относятся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соответствующим приложениям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закупке, если прямо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указано иное.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Ссылки на статьи, пункты и разделы, используемые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hyperlink w:tooltip="#Прил01_ТехТребования" w:anchor="Прил01_ТехТребования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Технически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х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 требовани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ях (Приложение № 1)</w:t>
        </w:r>
      </w:hyperlink>
      <w:r>
        <w:rPr>
          <w:rStyle w:val="1173"/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</w:t>
      </w:r>
      <w:hyperlink w:tooltip="#Прил02_ПроектДоговора" w:anchor="Прил02_ПроектДоговора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роект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е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 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д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оговора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 (Приложение № 2)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 и иных приложениях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относятся соответственно к статьям, пунктам и разделам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этих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приложений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 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Все приложения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 являются ее неотъемлемыми частями.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Информация о проводимой закупке, указанная 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 объеме, определенном частью 9 статьи 4 Закона 223-ФЗ, составляет Извещение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 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2" w:name="_Toc5"/>
      <w:r>
        <w:rPr>
          <w:rFonts w:ascii="Times New Roman" w:hAnsi="Times New Roman" w:eastAsia="Times New Roman" w:cs="Times New Roman"/>
          <w:sz w:val="24"/>
          <w:szCs w:val="24"/>
        </w:rPr>
      </w:r>
      <w:bookmarkStart w:id="6" w:name="_Ref125359973"/>
      <w:r>
        <w:rPr>
          <w:rFonts w:ascii="Times New Roman" w:hAnsi="Times New Roman" w:eastAsia="Times New Roman" w:cs="Times New Roman"/>
          <w:sz w:val="24"/>
          <w:szCs w:val="24"/>
        </w:rPr>
      </w:r>
      <w:bookmarkStart w:id="7" w:name="_Ref127270076"/>
      <w:r>
        <w:rPr>
          <w:rFonts w:ascii="Times New Roman" w:hAnsi="Times New Roman" w:eastAsia="Times New Roman" w:cs="Times New Roman"/>
          <w:sz w:val="24"/>
          <w:szCs w:val="24"/>
        </w:rPr>
      </w:r>
      <w:bookmarkStart w:id="8" w:name="_Ref132876309"/>
      <w:r>
        <w:rPr>
          <w:rFonts w:ascii="Times New Roman" w:hAnsi="Times New Roman" w:eastAsia="Times New Roman" w:cs="Times New Roman"/>
          <w:sz w:val="24"/>
          <w:szCs w:val="24"/>
        </w:rPr>
        <w:t xml:space="preserve">Информация о проводимой закупке</w:t>
      </w:r>
      <w:bookmarkEnd w:id="6"/>
      <w:r>
        <w:rPr>
          <w:rFonts w:ascii="Times New Roman" w:hAnsi="Times New Roman" w:eastAsia="Times New Roman" w:cs="Times New Roman"/>
          <w:sz w:val="24"/>
          <w:szCs w:val="24"/>
        </w:rPr>
      </w:r>
      <w:bookmarkEnd w:id="7"/>
      <w:r>
        <w:rPr>
          <w:rFonts w:ascii="Times New Roman" w:hAnsi="Times New Roman" w:eastAsia="Times New Roman" w:cs="Times New Roman"/>
          <w:sz w:val="24"/>
          <w:szCs w:val="24"/>
        </w:rPr>
      </w:r>
      <w:bookmarkEnd w:id="8"/>
      <w:r>
        <w:rPr>
          <w:rFonts w:ascii="Times New Roman" w:hAnsi="Times New Roman" w:eastAsia="Times New Roman" w:cs="Times New Roman"/>
          <w:sz w:val="24"/>
          <w:szCs w:val="24"/>
        </w:rPr>
      </w:r>
      <w:bookmarkEnd w:id="362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1170"/>
        <w:tblW w:w="0" w:type="auto"/>
        <w:tblLayout w:type="fixed"/>
        <w:tblLook w:val="04A0" w:firstRow="1" w:lastRow="0" w:firstColumn="1" w:lastColumn="0" w:noHBand="0" w:noVBand="1"/>
      </w:tblPr>
      <w:tblGrid>
        <w:gridCol w:w="850"/>
        <w:gridCol w:w="2693"/>
        <w:gridCol w:w="6369"/>
      </w:tblGrid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пункта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Содержание пункта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0" w:name="_Ref125360980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0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Способ закупки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Запрос предложений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в электронной форме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участниками которого могут быть только субъекты МСП.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864"/>
        </w:trPr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1" w:name="_Ref125360996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1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Предмет Договора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том числе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 лота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ind w:firstLine="0"/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bCs w:val="0"/>
                <w:i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lang w:eastAsia="en-US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lang w:eastAsia="en-US"/>
              </w:rPr>
              <w:t xml:space="preserve">от №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lang w:eastAsia="en-US"/>
              </w:rPr>
              <w:t xml:space="preserve">22139016-ТПИР ОБСЛ-2026-ДГК-ПГРЭС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lang w:eastAsia="ru-RU"/>
              </w:rPr>
              <w:t xml:space="preserve">ОКПД2 43.99.90. Выполнение работ по техперевооружению комплекса инженерно-технических средств физической защиты Партизанской ГРЭС, в рамках выполнения инвестиционного проекта H_505-ПГг-17, г. Партизанск</w:t>
            </w:r>
            <w:r>
              <w:rPr>
                <w:rFonts w:ascii="Times New Roman" w:hAnsi="Times New Roman" w:cs="Times New Roman"/>
                <w:bCs w:val="0"/>
                <w:i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Описание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предмета закупки: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Подробное описание предмета закупки, в том числе функциональные характеристики (потребительские свойства), технические и качественные характеристики, а также эксплуатационные характеристики (при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необходимости) предмета закупки, информация о количестве поставляемого товара, объема выполняемых работ, оказываемых услуг, 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также место поставки товара, выполнения работы, оказания услуги, содержится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 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Технических требованиях (Приложении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2" w:name="_Ref125367124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2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Многолотовая закупка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9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Нет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11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3" w:name="_Ref125360764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3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и адрес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ЭП,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 которой проводится закупка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Закупка проводится с помощью Единой электронной торговой площадки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Росэлторг</w:t>
            </w:r>
            <w:r>
              <w:rPr>
                <w:rFonts w:ascii="Times New Roman" w:hAnsi="Times New Roman" w:eastAsia="Times New Roman" w:cs="Times New Roman"/>
                <w:color w:val="1f497d"/>
                <w:sz w:val="24"/>
                <w:szCs w:val="24"/>
                <w:lang w:eastAsia="en-US"/>
              </w:rPr>
              <w:t xml:space="preserve"> </w:t>
            </w:r>
            <w:r>
              <w:rPr>
                <w:rStyle w:val="1159"/>
                <w:rFonts w:ascii="Times New Roman" w:hAnsi="Times New Roman" w:eastAsia="Times New Roman" w:cs="Times New Roman"/>
                <w:sz w:val="24"/>
                <w:szCs w:val="24"/>
              </w:rPr>
              <w:t xml:space="preserve">https://corp.roseltorg.ru/</w:t>
            </w:r>
            <w:r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r>
          </w:p>
          <w:p>
            <w:pPr>
              <w:ind w:left="38"/>
              <w:jc w:val="both"/>
              <w:spacing w:after="120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Регламент ЭТП, в соответствии с которым проводится закупка, размещен по адресу: </w:t>
            </w:r>
            <w:hyperlink r:id="rId12" w:tooltip="https://www.roseltorg.ru/knowledge_db/docs?55" w:history="1">
              <w:r>
                <w:rPr>
                  <w:rStyle w:val="1159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https://www.roseltorg.ru/knowledge_db/docs?55</w:t>
              </w:r>
            </w:hyperlink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4" w:name="_Ref125360970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4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Участвовать в закупке могут 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олько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субъекты МСП, а также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физически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лиц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являющихся индивидуальными предпринимателями и применяющих специальный налоговый режим «Налог на профессиональный доход»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 этом Участник вправе привлекать субподрядчиков (соисполнителей), в том числе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являющихся субъектами МСП, а также указанными выше физическими лицами (в случае отсутствия в условиях </w:t>
            </w:r>
            <w:hyperlink w:tooltip="#Прил02_ПроектДоговора" w:anchor="Прил02_ПроектДоговора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Проекта Договора (Приложение № 2)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прямого запрета на привлечение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исполнению обязательств по Договору третьих лиц).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5" w:name="_Ref125360988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5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Акционерное общество «Дальневосточная генерирующая компания» (далее - АО «ДГК»)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49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Место нахождения: 680000, г. Хабаровск, ул. Фрунзе, д. 49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49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Почтовый адрес: 680000, г. Хабаровск, ул. Фрунзе, д. 49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49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Адрес электронной почты: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 </w:t>
            </w:r>
            <w:hyperlink r:id="rId13" w:tooltip="mailto:dgk@dgk.ru" w:history="1">
              <w:r>
                <w:rPr>
                  <w:rStyle w:val="1159"/>
                  <w:rFonts w:ascii="Times New Roman" w:hAnsi="Times New Roman" w:eastAsia="Times New Roman" w:cs="Times New Roman"/>
                  <w:b w:val="0"/>
                  <w:bCs w:val="0"/>
                  <w:color w:val="0c33f5"/>
                  <w:sz w:val="24"/>
                  <w:szCs w:val="24"/>
                  <w:highlight w:val="white"/>
                  <w:lang w:val="en-US"/>
                </w:rPr>
                <w:t xml:space="preserve">dgk</w:t>
              </w:r>
              <w:r>
                <w:rPr>
                  <w:rStyle w:val="1159"/>
                  <w:rFonts w:ascii="Times New Roman" w:hAnsi="Times New Roman" w:eastAsia="Times New Roman" w:cs="Times New Roman"/>
                  <w:b w:val="0"/>
                  <w:bCs w:val="0"/>
                  <w:color w:val="0c33f5"/>
                  <w:sz w:val="24"/>
                  <w:szCs w:val="24"/>
                  <w:highlight w:val="white"/>
                </w:rPr>
                <w:t xml:space="preserve">@</w:t>
              </w:r>
              <w:r>
                <w:rPr>
                  <w:rStyle w:val="1159"/>
                  <w:rFonts w:ascii="Times New Roman" w:hAnsi="Times New Roman" w:eastAsia="Times New Roman" w:cs="Times New Roman"/>
                  <w:b w:val="0"/>
                  <w:bCs w:val="0"/>
                  <w:color w:val="0c33f5"/>
                  <w:sz w:val="24"/>
                  <w:szCs w:val="24"/>
                  <w:highlight w:val="white"/>
                  <w:lang w:val="en-US"/>
                </w:rPr>
                <w:t xml:space="preserve">dgk</w:t>
              </w:r>
              <w:r>
                <w:rPr>
                  <w:rStyle w:val="1159"/>
                  <w:rFonts w:ascii="Times New Roman" w:hAnsi="Times New Roman" w:eastAsia="Times New Roman" w:cs="Times New Roman"/>
                  <w:b w:val="0"/>
                  <w:bCs w:val="0"/>
                  <w:color w:val="0c33f5"/>
                  <w:sz w:val="24"/>
                  <w:szCs w:val="24"/>
                  <w:highlight w:val="white"/>
                </w:rPr>
                <w:t xml:space="preserve">.</w:t>
              </w:r>
              <w:r>
                <w:rPr>
                  <w:rStyle w:val="1159"/>
                  <w:rFonts w:ascii="Times New Roman" w:hAnsi="Times New Roman" w:eastAsia="Times New Roman" w:cs="Times New Roman"/>
                  <w:b w:val="0"/>
                  <w:bCs w:val="0"/>
                  <w:color w:val="0c33f5"/>
                  <w:sz w:val="24"/>
                  <w:szCs w:val="24"/>
                  <w:highlight w:val="white"/>
                  <w:lang w:val="en-US"/>
                </w:rPr>
                <w:t xml:space="preserve">ru</w:t>
              </w:r>
            </w:hyperlink>
            <w:r>
              <w:rPr>
                <w:rFonts w:ascii="Times New Roman" w:hAnsi="Times New Roman" w:eastAsia="Times New Roman" w:cs="Times New Roman"/>
                <w:b w:val="0"/>
                <w:bCs w:val="0"/>
                <w:color w:val="2f5696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pStyle w:val="1191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Контактный телефон: +7(4212) 26-4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-3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pStyle w:val="1136"/>
              <w:ind w:right="0"/>
              <w:jc w:val="both"/>
              <w:spacing w:before="0" w:beforeAutospacing="0" w:after="0" w:afterAutospacing="0" w:line="240" w:lineRule="auto"/>
              <w:rPr>
                <w:rStyle w:val="1159"/>
                <w:rFonts w:ascii="Times New Roman" w:hAnsi="Times New Roman" w:eastAsia="Times New Roman" w:cs="Times New Roman"/>
                <w:bCs w:val="0"/>
                <w:i w:val="0"/>
                <w:iCs w:val="0"/>
                <w:color w:val="0c33f5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о вопросам разъяснения Технических требований и заключения Договора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бращаться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 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 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нженеру 1 категории ОКС СП «Партизанская ГРЭС»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:u w:val="none"/>
              </w:rPr>
              <w:t xml:space="preserve"> АО «ДГК» -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Эрдынеева Альбина Гонгоровна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, тел.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(42363) 51455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</w:r>
            <w:hyperlink r:id="rId14" w:tooltip="mailto:erdyneeva_ag@dgk.ru" w:history="1">
              <w:r>
                <w:rPr>
                  <w:rStyle w:val="1159"/>
                  <w:rFonts w:ascii="Times New Roman" w:hAnsi="Times New Roman" w:cs="Times New Roman"/>
                  <w:i w:val="0"/>
                  <w:iCs w:val="0"/>
                  <w:color w:val="0c33f5"/>
                  <w:sz w:val="24"/>
                  <w:szCs w:val="24"/>
                </w:rPr>
                <w:t xml:space="preserve">erdyneeva_ag@dgk.ru</w:t>
              </w:r>
            </w:hyperlink>
            <w:r>
              <w:rPr>
                <w:rStyle w:val="1159"/>
                <w:rFonts w:ascii="Times New Roman" w:hAnsi="Times New Roman" w:eastAsia="Times New Roman" w:cs="Times New Roman"/>
                <w:bCs w:val="0"/>
                <w:i w:val="0"/>
                <w:iCs w:val="0"/>
                <w:color w:val="0c33f5"/>
                <w:sz w:val="24"/>
                <w:szCs w:val="24"/>
                <w:highlight w:val="none"/>
              </w:rPr>
            </w:r>
            <w:r>
              <w:rPr>
                <w:rStyle w:val="1159"/>
                <w:rFonts w:ascii="Times New Roman" w:hAnsi="Times New Roman" w:eastAsia="Times New Roman" w:cs="Times New Roman"/>
                <w:bCs w:val="0"/>
                <w:i w:val="0"/>
                <w:iCs w:val="0"/>
                <w:color w:val="0c33f5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6" w:name="_Ref125360954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6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Организатор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91"/>
              <w:jc w:val="left"/>
              <w:spacing w:before="62" w:beforeAutospacing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Акционерное общество «Дальневосточная генерирующая компания» (далее - АО «ДГК»)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  <w:p>
            <w:pPr>
              <w:pStyle w:val="1191"/>
              <w:jc w:val="left"/>
              <w:spacing w:before="62" w:beforeAutospacing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Место нахождения: 680000, г. Хабаровск, ул. Фрунзе, д. 49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  <w:p>
            <w:pPr>
              <w:pStyle w:val="1191"/>
              <w:jc w:val="left"/>
              <w:spacing w:before="62" w:beforeAutospacing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Почтовый адрес: 680000, г. Хабаровск, ул. Фрунзе, д. 49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  <w:p>
            <w:pPr>
              <w:pStyle w:val="1191"/>
              <w:jc w:val="left"/>
              <w:spacing w:before="62" w:before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 </w:t>
            </w:r>
            <w:hyperlink r:id="rId15" w:tooltip="mailto:dgk@dgk.ru" w:history="1">
              <w:r>
                <w:rPr>
                  <w:rStyle w:val="1159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  <w:lang w:val="en-US"/>
                </w:rPr>
                <w:t xml:space="preserve">dgk</w:t>
              </w:r>
              <w:r>
                <w:rPr>
                  <w:rStyle w:val="1159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</w:rPr>
                <w:t xml:space="preserve">@</w:t>
              </w:r>
              <w:r>
                <w:rPr>
                  <w:rStyle w:val="1159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  <w:lang w:val="en-US"/>
                </w:rPr>
                <w:t xml:space="preserve">dgk</w:t>
              </w:r>
              <w:r>
                <w:rPr>
                  <w:rStyle w:val="1159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</w:rPr>
                <w:t xml:space="preserve">.</w:t>
              </w:r>
              <w:r>
                <w:rPr>
                  <w:rStyle w:val="1159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  <w:lang w:val="en-US"/>
                </w:rPr>
                <w:t xml:space="preserve"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91"/>
              <w:jc w:val="both"/>
              <w:spacing w:before="62" w:beforeAutospacing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Контактный телефон: +7(4212) 26-47-34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7" w:name="_Ref125361238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7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Представитель Организатора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99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Контактное лицо (Ф.И.О.): Евстратенко Анна Валериевна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  <w:p>
            <w:pPr>
              <w:pStyle w:val="99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Контактный телефон: +7(4212) 26-47-34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  <w:p>
            <w:pPr>
              <w:pStyle w:val="992"/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Адрес электронной почты: </w:t>
            </w:r>
            <w:hyperlink r:id="rId16" w:tooltip="mailto:evstratenko-av@dgk.ru" w:history="1">
              <w:r>
                <w:rPr>
                  <w:rStyle w:val="1159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  <w:lang w:val="en-US"/>
                </w:rPr>
                <w:t xml:space="preserve">evstratenko</w:t>
              </w:r>
              <w:r>
                <w:rPr>
                  <w:rStyle w:val="1159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</w:rPr>
                <w:t xml:space="preserve">-</w:t>
              </w:r>
              <w:r>
                <w:rPr>
                  <w:rStyle w:val="1159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  <w:lang w:val="en-US"/>
                </w:rPr>
                <w:t xml:space="preserve">av</w:t>
              </w:r>
              <w:r>
                <w:rPr>
                  <w:rStyle w:val="1159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</w:rPr>
                <w:t xml:space="preserve">@</w:t>
              </w:r>
              <w:r>
                <w:rPr>
                  <w:rStyle w:val="1159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  <w:lang w:val="en-US"/>
                </w:rPr>
                <w:t xml:space="preserve">dgk</w:t>
              </w:r>
              <w:r>
                <w:rPr>
                  <w:rStyle w:val="1159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</w:rPr>
                <w:t xml:space="preserve">.</w:t>
              </w:r>
              <w:r>
                <w:rPr>
                  <w:rStyle w:val="1159"/>
                  <w:rFonts w:ascii="Times New Roman" w:hAnsi="Times New Roman" w:eastAsia="Times New Roman" w:cs="Times New Roman"/>
                  <w:b w:val="0"/>
                  <w:color w:val="0c33f5"/>
                  <w:sz w:val="24"/>
                  <w:szCs w:val="24"/>
                  <w:lang w:val="en-US"/>
                </w:rPr>
                <w:t xml:space="preserve">ru</w:t>
              </w:r>
            </w:hyperlink>
            <w:r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auto"/>
              </w:rPr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auto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8" w:name="_Ref125362694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8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Официальный источник размещения информации о проведении закупки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/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рок, место и порядок предоставления Документации о 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Документация о закупке официально размещена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ЕИС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доступна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 Официальном сайте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ознакомления любым заинтересованным лицам.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Официальным источником информации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ходе проведения закупки является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Официальный сайт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zakupki.gov.ru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Документация о закупке доступна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взимания платы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в форме электронного документа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любое время с момента официального размещения Извещения.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Предоставление Документации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закупке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бумажном носителе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предусмотрено.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19" w:name="_Ref125360963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9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размещения Извещения о проведении закупки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«19» мая 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026 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0" w:name="_Ref125362837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0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Начальная (максимальная) цена договора (цена лота)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ind w:left="0" w:firstLine="0"/>
              <w:spacing w:after="12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НМЦ составляет 11 201 234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руб., без учета НДС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</w:p>
          <w:p>
            <w:pPr>
              <w:ind w:left="0" w:firstLine="0"/>
              <w:jc w:val="both"/>
              <w:spacing w:after="12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Сведения о начальной (максимальной) цене единицы продукции, необходимые для применения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законодательства о национальном режиме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представлена в форме Коммерческого предложения (форма 3) (</w:t>
            </w:r>
            <w:hyperlink w:tooltip="#Прил04_ФормыЗаявки" w:anchor="Прил04_ФормыЗаявки" w:history="1">
              <w:r>
                <w:rPr>
                  <w:rStyle w:val="1173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</w:p>
          <w:p>
            <w:pPr>
              <w:pStyle w:val="1149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Обоснование НМЦ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представлено в </w:t>
            </w:r>
            <w:hyperlink w:tooltip="#Прил09_ОбоснованиеНМЦ" w:anchor="Прил09_ОбоснованиеНМЦ" w:history="1">
              <w:r>
                <w:rPr>
                  <w:rStyle w:val="1173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sz w:val="24"/>
                  <w:szCs w:val="24"/>
                </w:rPr>
                <w:t xml:space="preserve">Приложени</w:t>
              </w:r>
              <w:r>
                <w:rPr>
                  <w:rStyle w:val="1173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sz w:val="24"/>
                  <w:szCs w:val="24"/>
                </w:rPr>
                <w:t xml:space="preserve">и</w:t>
              </w:r>
              <w:r>
                <w:rPr>
                  <w:rStyle w:val="1173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sz w:val="24"/>
                  <w:szCs w:val="24"/>
                </w:rPr>
                <w:t xml:space="preserve"> №</w:t>
              </w:r>
              <w:r>
                <w:rPr>
                  <w:rStyle w:val="1173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sz w:val="24"/>
                  <w:szCs w:val="24"/>
                </w:rPr>
                <w:t xml:space="preserve"> </w:t>
              </w:r>
              <w:r>
                <w:rPr>
                  <w:rStyle w:val="1173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sz w:val="24"/>
                  <w:szCs w:val="24"/>
                </w:rPr>
                <w:t xml:space="preserve">9</w:t>
              </w:r>
            </w:hyperlink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1" w:name="_Ref125363076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1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Обеспечение заявки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участие в 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требуется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Внимание!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Для того, чтобы иметь возможность подать заявку на участие в закупке, в соответствии с Регламентом ЭП на счете Участника, открытом ему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ператором ЭП, должна быть внесена сумма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размере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менее установленной платы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соответствии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тарифами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ператора ЭП.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2" w:name="_Ref125362995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2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описанию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продукции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огласие (декларация) Участника на поставку продукции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установленной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форме Технического предложения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(форма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hyperlink w:tooltip="#Прил04_ФормыЗаявки" w:anchor="Прил04_Формы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</w:t>
              </w:r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условиях, указанных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подлежащих изменению по результатам проведения закупки, без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направления Участником собственных подробных предложений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Применение законодательства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национальном режиме: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ind w:firstLine="0"/>
              <w:jc w:val="left"/>
              <w:spacing w:before="60" w:after="60"/>
              <w:tabs>
                <w:tab w:val="left" w:pos="295" w:leader="none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Национальный режим предоставляется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3" w:name="_Ref125475086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3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порядок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подачи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Заявки подаются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посредством функционала ЭП,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адресу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ЭП, указанному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пункте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_Ref125360764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1.2.5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Заявка должна состоять из двух частей и ценового предложения.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4" w:name="_Ref125360779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4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начала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дата и время окончания срока подачи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начала подачи заявок: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«19» мая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2026г.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и время окончания срока подачи заявок: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«28» мая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2026 г. в 15 ч. 00 мин.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(по местному времени Организатора).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Срок предоставления Участникам разъяснений Документации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и время окончания срока предоставления разъяснений: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«28» мая 2026 г. в 15 ч. 00 мин.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(по местному времени Организатора).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Организатор вправе не предоставлять разъяснение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сли запрос от Участника поступил позднее чем за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 (три) рабочих дня до даты окончания срока подачи заявок, установленной в пункте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_Ref125360779 \r \h 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1.2.17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5" w:name="_Ref125476197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5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открытия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доступа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 заявкам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Открытие доступа к заявкам осуществляется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автоматически на ЭП, расположенной по адресу согласно пункту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_Ref125360764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1.2.5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6" w:name="_Ref125362733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6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окончания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рассмотрения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первых частей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«05» июня 2026 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tabs>
                <w:tab w:val="clear" w:pos="1134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Срок направления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ператором ЭП вторых частей заявок и ценовых предложений в адрес Организатора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 позднее 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(одного) рабочего дня, следующего за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днем официального размещения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 Официальном сайте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ЕИС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протокола рассмотрения первых частей заявок.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7" w:name="_Ref132898515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7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окончания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рассмотрения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вторых частей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ценовых предложений: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tabs>
                <w:tab w:val="clear" w:pos="1134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«17» июня 2026 г.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8" w:name="_Ref125362757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8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подведения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итогов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закупки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«17» июня 2026 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tabs>
                <w:tab w:val="clear" w:pos="1134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14:ligatures w14:val="none"/>
              </w:rPr>
            </w:r>
          </w:p>
          <w:p>
            <w:pPr>
              <w:pStyle w:val="1149"/>
              <w:rPr>
                <w:rStyle w:val="115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54"/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Style w:val="1154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1154"/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9" w:name="_Ref125366047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9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Преференция продукции, изготовленной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использованием российского алюминия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алюминиевых полуфабрикатов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 предоставляется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0" w:name="_Ref125361769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0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Рассмотрение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оценка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сопоставление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заявок Участников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учетом привлекаемых субподрядчиков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 предусмотрено.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Порядок подведения итогов закупки: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Победителем закупки признается Участник, заявка которого соответствует требованиям Документации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закупке и содержит лучшие условия исполнения Договора на основании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установленных критериев оценки согласно Документации о закупке.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1" w:name="_Ref125366606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1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Количество победителей закупки (в рамках одного лота)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Один победитель.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2" w:name="_Ref125366813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2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Место подачи документов в отношении цепочки собственников, включая конечных бенефициаров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jc w:val="left"/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Почтовый адрес: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eastAsia="en-US"/>
              </w:rPr>
              <w:t xml:space="preserve">92860, Россия, Приморский край, г. Партизанск, ул.Свердлова, д.2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eastAsia="en-US"/>
              </w:rPr>
              <w:t xml:space="preserve">92860, Россия, Приморский край, г. Партизанск, ул.Свердлова, д.2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none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none"/>
                <w:lang w:eastAsia="en-US"/>
              </w:rPr>
            </w:r>
          </w:p>
          <w:p>
            <w:pPr>
              <w:jc w:val="left"/>
              <w:spacing w:before="0" w:beforeAutospacing="0" w:after="0" w:afterAutospacing="0" w:line="240" w:lineRule="auto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none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none"/>
                <w:lang w:eastAsia="en-US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  <w:p>
            <w:pPr>
              <w:pStyle w:val="1136"/>
              <w:ind w:right="0"/>
              <w:jc w:val="left"/>
              <w:spacing w:before="0" w:beforeAutospacing="0" w:after="0" w:afterAutospacing="0" w:line="240" w:lineRule="auto"/>
              <w:rPr>
                <w:rFonts w:ascii="Times New Roman" w:hAnsi="Times New Roman" w:cs="Times New Roman"/>
                <w:bCs w:val="0"/>
                <w:i w:val="0"/>
                <w:color w:val="0c33f5"/>
                <w:sz w:val="24"/>
                <w:szCs w:val="24"/>
                <w:highlight w:val="yellow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spacing w:val="-6"/>
                <w:sz w:val="24"/>
                <w:szCs w:val="24"/>
              </w:rPr>
              <w:t xml:space="preserve">Контактное лицо для приема документов (Ф.И.О.): 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Эрдынеева Альбина Гонгоровна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, тел.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(42363) 51455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</w:r>
            <w:hyperlink r:id="rId17" w:tooltip="mailto:erdyneeva_ag@dgk.ru" w:history="1">
              <w:r>
                <w:rPr>
                  <w:rStyle w:val="1159"/>
                  <w:rFonts w:ascii="Times New Roman" w:hAnsi="Times New Roman" w:cs="Times New Roman"/>
                  <w:i w:val="0"/>
                  <w:iCs w:val="0"/>
                  <w:color w:val="0c33f5"/>
                  <w:sz w:val="24"/>
                  <w:szCs w:val="24"/>
                </w:rPr>
                <w:t xml:space="preserve">erdyneeva_ag@dgk.ru</w:t>
              </w:r>
            </w:hyperlink>
            <w:r>
              <w:rPr>
                <w:rFonts w:ascii="Times New Roman" w:hAnsi="Times New Roman" w:cs="Times New Roman"/>
                <w:bCs w:val="0"/>
                <w:i w:val="0"/>
                <w:color w:val="0c33f5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 w:val="0"/>
                <w:i w:val="0"/>
                <w:color w:val="0c33f5"/>
                <w:sz w:val="24"/>
                <w:szCs w:val="24"/>
                <w:highlight w:val="yellow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3" w:name="_Ref125368490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3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Некритичные пункты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роекта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оговора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Отсутствуют.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Внимание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! Корректировка пунктов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роекта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оговора, не указанных в настоящем разделе,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допускается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Договор заключается в редакции </w:t>
            </w:r>
            <w:hyperlink w:tooltip="#Прил02_ПроектДоговора" w:anchor="Прил02_ПроектДоговора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2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1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Обеспечение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исполнения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Договора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69" w:type="dxa"/>
            <w:textDirection w:val="lrTb"/>
            <w:noWrap w:val="false"/>
          </w:tcPr>
          <w:p>
            <w:pPr>
              <w:contextualSpacing/>
              <w:ind w:left="0" w:right="0" w:firstLine="0"/>
              <w:jc w:val="both"/>
              <w:spacing w:before="0" w:after="0" w:afterAutospacing="0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highlight w:val="none"/>
              </w:rPr>
              <w:t xml:space="preserve">Требуется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highlight w:val="none"/>
              </w:rPr>
            </w:r>
          </w:p>
          <w:p>
            <w:pPr>
              <w:pStyle w:val="1136"/>
              <w:contextualSpacing/>
              <w:ind w:left="0" w:right="0" w:firstLine="0"/>
              <w:jc w:val="both"/>
              <w:spacing w:before="0" w:after="0" w:afterAutospacing="0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Обеспечение по надлежащему исполнению обязательств по договору: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none"/>
              </w:rPr>
            </w:r>
          </w:p>
          <w:p>
            <w:pPr>
              <w:contextualSpacing/>
              <w:ind w:left="0" w:right="0" w:firstLine="0"/>
              <w:jc w:val="both"/>
              <w:spacing w:before="0" w:after="0" w:afterAutospacing="0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- в виде независимой гарантии в размере – 5% (пять процентов) от цены Договора. 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none"/>
              </w:rPr>
            </w:r>
          </w:p>
          <w:p>
            <w:pPr>
              <w:contextualSpacing/>
              <w:ind w:left="0" w:right="0" w:firstLine="0"/>
              <w:jc w:val="both"/>
              <w:spacing w:before="0" w:after="0" w:afterAutospacing="0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-  </w:t>
            </w:r>
            <w:r/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валюта обеспечения исполнения Договора: рубль.</w:t>
            </w:r>
            <w:r/>
            <w:r/>
          </w:p>
          <w:p>
            <w:pPr>
              <w:pStyle w:val="1136"/>
              <w:contextualSpacing/>
              <w:ind w:left="0" w:right="0" w:firstLine="0"/>
              <w:jc w:val="both"/>
              <w:spacing w:before="0" w:after="0" w:afterAutospacing="0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Иные требования к обеспечению исполнения Договора: приведены в Проекте договора (Приложение №2) к Документации о закупке)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</w:p>
        </w:tc>
      </w:tr>
    </w:tbl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3" w:name="_Toc6"/>
      <w:r>
        <w:rPr>
          <w:rFonts w:ascii="Times New Roman" w:hAnsi="Times New Roman" w:eastAsia="Times New Roman" w:cs="Times New Roman"/>
          <w:sz w:val="24"/>
          <w:szCs w:val="24"/>
        </w:rPr>
      </w:r>
      <w:bookmarkStart w:id="35" w:name="_Ref125360073"/>
      <w:r>
        <w:rPr>
          <w:rFonts w:ascii="Times New Roman" w:hAnsi="Times New Roman" w:eastAsia="Times New Roman" w:cs="Times New Roman"/>
          <w:sz w:val="24"/>
          <w:szCs w:val="24"/>
        </w:rPr>
      </w:r>
      <w:bookmarkStart w:id="36" w:name="_Ref125360337"/>
      <w:r>
        <w:rPr>
          <w:rFonts w:ascii="Times New Roman" w:hAnsi="Times New Roman" w:eastAsia="Times New Roman" w:cs="Times New Roman"/>
          <w:sz w:val="24"/>
          <w:szCs w:val="24"/>
        </w:rPr>
        <w:t xml:space="preserve">Общие положения</w:t>
      </w:r>
      <w:bookmarkEnd w:id="35"/>
      <w:r>
        <w:rPr>
          <w:rFonts w:ascii="Times New Roman" w:hAnsi="Times New Roman" w:eastAsia="Times New Roman" w:cs="Times New Roman"/>
          <w:sz w:val="24"/>
          <w:szCs w:val="24"/>
        </w:rPr>
      </w:r>
      <w:bookmarkEnd w:id="36"/>
      <w:r>
        <w:rPr>
          <w:rFonts w:ascii="Times New Roman" w:hAnsi="Times New Roman" w:eastAsia="Times New Roman" w:cs="Times New Roman"/>
          <w:sz w:val="24"/>
          <w:szCs w:val="24"/>
        </w:rPr>
      </w:r>
      <w:bookmarkEnd w:id="36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4" w:name="_Toc7"/>
      <w:r>
        <w:rPr>
          <w:rFonts w:ascii="Times New Roman" w:hAnsi="Times New Roman" w:eastAsia="Times New Roman" w:cs="Times New Roman"/>
          <w:sz w:val="24"/>
          <w:szCs w:val="24"/>
        </w:rPr>
        <w:t xml:space="preserve">Общие сведения о закупке</w:t>
      </w:r>
      <w:bookmarkEnd w:id="36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официально размещенным Извещением приглашает лиц, указанных в 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к участию в закупке на право заключения договора, предмет которого указан в том же 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 к Участникам, а также к документам, подтверждающим соответствие установленным требованиям, приведены в 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_Ref125361210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Документации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 к поставляемой продукции, включая срок, объем и место поставки продукции, изложены в </w:t>
      </w:r>
      <w:hyperlink w:tooltip="#Прил01_ТехТребования" w:anchor="Прил01_ТехТребования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Технических требованиях (Приложение № 1)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hyperlink w:tooltip="#Прил02_ПроектДоговора" w:anchor="Прил02_ПроектДоговора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Проект договора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 который планируется заключить по результатам закупки, в том числе содержащий условия по форме, срокам и порядку оплаты, приведен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hyperlink w:tooltip="#Прил02_ПроектДоговора" w:anchor="Прил02_ПроектДоговора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Приложении № 2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Подробная информация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порядке проведения закупки и участия в ней, а также о порядке заключения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приведены в разделах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_Ref125361211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_Ref126142429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образцы основных форм документов, включаемых в заявку или предоставляемых Победителем, приведены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Приложениях </w:t>
      </w:r>
      <w:hyperlink w:tooltip="#Прил04_ФормыЗаявки" w:anchor="Прил04_ФормыЗаявк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№ 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hyperlink w:tooltip="#Прил05_ФормыПобедителя" w:anchor="Прил05_ФормыПобедителя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№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5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5" w:name="_Toc8"/>
      <w:r>
        <w:rPr>
          <w:rFonts w:ascii="Times New Roman" w:hAnsi="Times New Roman" w:eastAsia="Times New Roman" w:cs="Times New Roman"/>
          <w:sz w:val="24"/>
          <w:szCs w:val="24"/>
        </w:rPr>
        <w:t xml:space="preserve">Правовой статус документов</w:t>
      </w:r>
      <w:bookmarkEnd w:id="365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Документация о закупке вместе с Извещением, являющимся ее неотъемлемой частью, являются публичной офертой Организатора в соответствии со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статьей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437 ГК РФ и должны рассматриваться Участниками в соответствии с этим до подведения итогов закупки. При наличии противоречий между положениями Извещения и Документации о закупке применяются положения Извещения.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Заявка Участника имеет правовой статус оферты и будет рассматриваться Организатором в течение указанного в ней срока ее действия.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" w:name="_Ref125366985"/>
      <w:r>
        <w:rPr>
          <w:rFonts w:ascii="Times New Roman" w:hAnsi="Times New Roman" w:eastAsia="Times New Roman" w:cs="Times New Roman"/>
          <w:sz w:val="24"/>
          <w:szCs w:val="24"/>
        </w:rPr>
        <w:t xml:space="preserve">При определении условий Договора по результатам закупки использу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иерархия документов, установленная в пункте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_Ref132288402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5.2.8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bookmarkEnd w:id="40"/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Заключенный по результатам закупки Договор, в том числе, фиксирует все достигнутые сторонами договоренности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Во всем, что не урегулировано Извещением и Документацией о закупке, стороны руководствуются Законом 223-ФЗ и Положением о закупке (в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редакции, действующей на дату официального размещения Извещения).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сли в отношении сторон Договора, заключаемого по результатам закупки, действуют также специальные нормативные правовые акты, зарегистрированные в установленном порядке, Документация о закупке и заявка Победителя будут считаться приоритетными по отношению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диспозитивным нормам указанных документов.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Иные документы Организатора и Участников не определяют права и обязанности сторон в связи с данной закупкой.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Любые уведомления, письма, предложения, иная переписка и действия председателя, заместителя председателя, членов, секретаря Закупочной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комиссии и иных работников Заказчика и Организатора относительно условий, сроков проведения, предмета настоящей закупки (за исключением информации, представляемой Участникам в соответствии с Положением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носят исключительно информационный характер и не являются офертой либо акцептом Организатора или Заказчика.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6" w:name="_Toc9"/>
      <w:r>
        <w:rPr>
          <w:rFonts w:ascii="Times New Roman" w:hAnsi="Times New Roman" w:eastAsia="Times New Roman" w:cs="Times New Roman"/>
          <w:sz w:val="24"/>
          <w:szCs w:val="24"/>
        </w:rPr>
      </w:r>
      <w:bookmarkStart w:id="41" w:name="_Ref125363536"/>
      <w:r>
        <w:rPr>
          <w:rFonts w:ascii="Times New Roman" w:hAnsi="Times New Roman" w:eastAsia="Times New Roman" w:cs="Times New Roman"/>
          <w:sz w:val="24"/>
          <w:szCs w:val="24"/>
        </w:rPr>
        <w:t xml:space="preserve">Обжалование</w:t>
      </w:r>
      <w:bookmarkEnd w:id="41"/>
      <w:r>
        <w:rPr>
          <w:rFonts w:ascii="Times New Roman" w:hAnsi="Times New Roman" w:eastAsia="Times New Roman" w:cs="Times New Roman"/>
          <w:sz w:val="24"/>
          <w:szCs w:val="24"/>
        </w:rPr>
      </w:r>
      <w:bookmarkEnd w:id="366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Любой Участник, который заявляет, что понес или может понести убытки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результате нарушения его прав Заказчиком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Организатором, отдельными членами Закупочной комиссии или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ЭП, имеет право подать заявление о рассмотрении разногласий, связанных с проведением закуп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 заключения Договора с Победителем заявления о рассмотрении разногласий направляются Участниками через круглосуточную «Линию доверия», посредством заполнения специальной формы на корпоративном сайте ПАО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«РусГидро» (вкладка «Линия доверия»), или сообщения информации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указанному на корпоративном сайте телефону. На время рассмотрения разногласий процедура проведения закупки приостанавливается до вынесения решения, если тому нет явных препятствий юридического или экономического характера.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разногласия не разрешены по взаимному согласию представившего их Участника и Заказчика,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может быть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принят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одно из следующих решений: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обязать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Заказчика, Организатора,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членов Закупочной комиссии, совершивших неправомерные действия, применивших неправомерные процедуры либо принявших незаконное решение, совершить действия, соответствующие законодательству и Положению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(в том числе, но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ограничиваясь, отменить составленные в ходе закупки протоколы, повторно рассмотреть заявки Участников)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признать заявление Участника необоснованным.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вправе обжаловать действия (бездействие) Заказчика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Организатора, Закупочной комиссии,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ператора ЭП при проведении настоящей закупки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антимонопольном органе в порядке, установленном законодательством.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сли обжалуемые действия (бездействие) совершены после окончания установленного срока подачи заявок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обжалование таких действий (бездействия) может осуществляться только Участником, подавшим заявку на участие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такой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Все споры и разногласия, возникающие в связи с проведением закупки, касающиеся исполнения Организатором, Заказчиком и Участниками своих обязательств, в том числе не урегулированные путем обращения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«Линию доверия»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антимонопольные органы, подлежат разрешению следующим образом: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закупкам, проводимым закупочными комиссиями 1-го уровня –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Арбитражном суде по месту нахождения Заказчика (либо соответствующего филиала Заказчика, для нужд которого проводится настоящая закупка);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закупкам, проводимым закупочными комиссиями 2-го уровня, специальными закупочными комиссиями, закупочными комиссиями исполнительного аппарата ПАО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«РусГидро» – в Арбитражном суде г.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Москвы.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акупочн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комисси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 определяется в соответствии с Положением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7" w:name="_Toc10"/>
      <w:r>
        <w:rPr>
          <w:rFonts w:ascii="Times New Roman" w:hAnsi="Times New Roman" w:eastAsia="Times New Roman" w:cs="Times New Roman"/>
          <w:sz w:val="24"/>
          <w:szCs w:val="24"/>
        </w:rPr>
        <w:t xml:space="preserve">Особые положения при проведении закупки с использованием ЭП</w:t>
      </w:r>
      <w:bookmarkEnd w:id="367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Наименование ЭП, посредством которой проводится закупка, указано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До подачи заявки Участник обязан ознакомиться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Регламентом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опубликованными на сайте соответствующей ЭП.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Для участия в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должен пройти процедуру регистрации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Едином реестре участников закупок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ЕИС в порядке, предусмотренным Законом 44-ФЗ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т.е. быть зарегистрированным на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Регистрация осуществляется Федеральным Казначейством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и Организатор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(Заказчик)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несет ответственности за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 ее прохождения Участником, в том числе понесенные им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затраты.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Правила проведения закупки в том числе определяются Регламентом ЭП.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Обмен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всей информаци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связанной с проведением закупки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между Участником, Организатором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(Заказчиком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осуществляется на ЭП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форме электронных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документов, подписанных усиленной квалифицированной электронной подписью уполномоченного лица.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Стоимость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(цена Договора)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иные условия закупки, указанные Участниками в специальных электронных формах на ЭП, имеют преимущество перед сведениями, указанными в загруженных на ЭП электронных документах.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8" w:name="_Toc11"/>
      <w:r>
        <w:rPr>
          <w:rFonts w:ascii="Times New Roman" w:hAnsi="Times New Roman" w:eastAsia="Times New Roman" w:cs="Times New Roman"/>
          <w:sz w:val="24"/>
          <w:szCs w:val="24"/>
        </w:rPr>
        <w:t xml:space="preserve">Прочие положения</w:t>
      </w:r>
      <w:bookmarkEnd w:id="36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Заказчик, Организатор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 ЭП обеспечивают конфиденциальн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ость относительно всех полученных от Участников сведений, в том числе содержащихся в заявках. Предоставление этой информации другим Участникам или третьим лицам возможно только в случаях, прямо предусмотренных законодательством или Документацией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(по решению Закупочной комиссии), вправе отклонить заявку, если будет установлено, что Участник каким-либо способом повлиял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рассмотрение заявок, их оценку и сопоставление, подведение итогов закупки (определение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Победителя), в том числе прямо или косвенно дал, согласился дать или предложил работнику Организатора, Заказчика, члену Закупочной комиссии или эксперту, осуществлявшему экспертизу заявок, вознаграждение в любой форме: работу, услугу, какую-либо ценность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качестве стимула,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(или) оказал каким-либо иным образом давление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указанных лиц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 целью предупреждения и противодействия противоправным действиям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Группе РусГидро организована круглосуточная «Линия доверия», обратиться на которую можно по телефону +7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(495)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785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09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37 (круглосуточно), или заполнив соответствующую форму на корпоративном сайте ПАО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«РусГидро», вкладка «Линия доверия».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69" w:name="_Toc12"/>
      <w:r>
        <w:rPr>
          <w:rFonts w:ascii="Times New Roman" w:hAnsi="Times New Roman" w:eastAsia="Times New Roman" w:cs="Times New Roman"/>
          <w:sz w:val="24"/>
          <w:szCs w:val="24"/>
        </w:rPr>
      </w:r>
      <w:bookmarkStart w:id="45" w:name="_Ref125361210"/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 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частникам</w:t>
      </w:r>
      <w:bookmarkEnd w:id="45"/>
      <w:r>
        <w:rPr>
          <w:rFonts w:ascii="Times New Roman" w:hAnsi="Times New Roman" w:eastAsia="Times New Roman" w:cs="Times New Roman"/>
          <w:sz w:val="24"/>
          <w:szCs w:val="24"/>
        </w:rPr>
      </w:r>
      <w:bookmarkEnd w:id="36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0" w:name="_Toc13"/>
      <w:r>
        <w:rPr>
          <w:rFonts w:ascii="Times New Roman" w:hAnsi="Times New Roman" w:eastAsia="Times New Roman" w:cs="Times New Roman"/>
          <w:sz w:val="24"/>
          <w:szCs w:val="24"/>
        </w:rPr>
      </w:r>
      <w:bookmarkStart w:id="47" w:name="_Ref127524530"/>
      <w:r>
        <w:rPr>
          <w:rFonts w:ascii="Times New Roman" w:hAnsi="Times New Roman" w:eastAsia="Times New Roman" w:cs="Times New Roman"/>
          <w:sz w:val="24"/>
          <w:szCs w:val="24"/>
        </w:rPr>
        <w:t xml:space="preserve">Общие требования к Участникам</w:t>
      </w:r>
      <w:bookmarkEnd w:id="47"/>
      <w:r>
        <w:rPr>
          <w:rFonts w:ascii="Times New Roman" w:hAnsi="Times New Roman" w:eastAsia="Times New Roman" w:cs="Times New Roman"/>
          <w:sz w:val="24"/>
          <w:szCs w:val="24"/>
        </w:rPr>
      </w:r>
      <w:bookmarkEnd w:id="37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9" w:name="_Ref125361514"/>
      <w:r>
        <w:rPr>
          <w:rFonts w:ascii="Times New Roman" w:hAnsi="Times New Roman" w:eastAsia="Times New Roman" w:cs="Times New Roman"/>
          <w:sz w:val="24"/>
          <w:szCs w:val="24"/>
        </w:rPr>
        <w:t xml:space="preserve">Из лиц, указанных в 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участвовать в закупке может любое юридическое / физическое лицо (в том числе индивидуальный предприниматель)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независимо от их организационно-правовой формы, формы собственности, места нахождения и места происхождения капитала. Исключение составляют юридические / физические лица, являющиеся иностранным агентом в соответствии с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Законом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255-ФЗ – они не могут быть Участником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bookmarkEnd w:id="4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Однако, чтобы претендовать на победу в закупке Участник самостоятельно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должен отвечать требованиям, установленным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 к Участникам установлены с учетом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предмета договора,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hyperlink w:tooltip="#Прил01_ТехТребования" w:anchor="Прил01_ТехТребования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Технических требований (Приложение № 1)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 и </w:t>
      </w:r>
      <w:hyperlink w:tooltip="#Прил02_ПроектДоговора" w:anchor="Прил02_ПроектДоговора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Проекта договора (Приложение № 2)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Установлены следующие 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ребования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Участникам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которые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приведены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hyperlink w:tooltip="#Прил03_ТребованияУчастникам" w:anchor="Прил03_ТребованияУчастникам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Приложении № 3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обязательные требования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_Ref125361435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Участник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должны им соответствовать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специальные требования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Участники должны им соответствовать, если они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_Ref125709153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8.3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рамках требований к Участникам могут быть установлены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дополнительные требования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 Генеральным подрядчикам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_Ref125361702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Для подтверждения соответствия установленным требованиям Участник обязан приложить в составе заявки документы, перечисленные в </w:t>
      </w:r>
      <w:hyperlink w:tooltip="#Прил03_ТребованияУчастникам" w:anchor="Прил03_ТребованияУчастникам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Требованиях к Участникам (Приложение № 3)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bookmarkStart w:id="52" w:name="_Hlk132706049"/>
      <w:r>
        <w:rPr>
          <w:rFonts w:ascii="Times New Roman" w:hAnsi="Times New Roman" w:eastAsia="Times New Roman" w:cs="Times New Roman"/>
          <w:sz w:val="24"/>
          <w:szCs w:val="24"/>
        </w:rPr>
        <w:t xml:space="preserve">если иное не установлено в Документации о закупке</w:t>
      </w:r>
      <w:bookmarkEnd w:id="52"/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1" w:name="_Toc14"/>
      <w:r>
        <w:rPr>
          <w:rFonts w:ascii="Times New Roman" w:hAnsi="Times New Roman" w:eastAsia="Times New Roman" w:cs="Times New Roman"/>
          <w:sz w:val="24"/>
          <w:szCs w:val="24"/>
        </w:rPr>
      </w:r>
      <w:bookmarkStart w:id="64" w:name="_Ref125361702"/>
      <w:r>
        <w:rPr>
          <w:rFonts w:ascii="Times New Roman" w:hAnsi="Times New Roman" w:eastAsia="Times New Roman" w:cs="Times New Roman"/>
          <w:sz w:val="24"/>
          <w:szCs w:val="24"/>
        </w:rPr>
        <w:t xml:space="preserve">Генеральные подрядчики</w:t>
      </w:r>
      <w:bookmarkEnd w:id="64"/>
      <w:r>
        <w:rPr>
          <w:rFonts w:ascii="Times New Roman" w:hAnsi="Times New Roman" w:eastAsia="Times New Roman" w:cs="Times New Roman"/>
          <w:sz w:val="24"/>
          <w:szCs w:val="24"/>
        </w:rPr>
      </w:r>
      <w:bookmarkEnd w:id="37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Нормы настоящего подраздела применяются только, если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подразделом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предусмотрены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рассмотрение и оценка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 Участников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учетом привлекаемых субподрядчиков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заявка подается Участником от лица Генерального подрядчика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дополнительно должны быть выполнены требования настоящего подраздела, 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также требования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дополнительным документам, предоставляемым таким Участником в составе заявки, установленные 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_Ref125709777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Требований к Участникам (Приложение № 3)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Генеральный подрядчик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должен самостоятельно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отвечать всем обязательным требованиям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Участникам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_Ref125361435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рамках специальных требований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_Ref125709153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8.3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касающихся членства в саморегулируемых организациях (в случае их установления), должен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иметь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соответствующ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членство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учетом требований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законодательств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такому членству;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рамках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остальны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специальны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требовани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й (в случае их установления) должен отвечать им только в части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объема поставки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продукции, который ему предполагается поручить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соответствии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представленным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Техническом предложении Планом распределения объемов поставки продукции (форма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(</w:t>
      </w:r>
      <w:hyperlink w:tooltip="#Прил04_ФормыЗаявки" w:anchor="Прил04_ФормыЗаявк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Приложение № 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66" w:name="_Ref125368863"/>
      <w:r>
        <w:rPr>
          <w:rFonts w:ascii="Times New Roman" w:hAnsi="Times New Roman" w:eastAsia="Times New Roman" w:cs="Times New Roman"/>
          <w:sz w:val="24"/>
          <w:szCs w:val="24"/>
        </w:rPr>
        <w:t xml:space="preserve">Каждый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субподрядчик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из привлекаемы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Генеральным подрядчиком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должен отвечать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обязательным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_Ref125361435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специальным требованиям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_Ref125709153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8.3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(в случае их установления),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исключением требования о наличии членства в саморегулируемых организациях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этом соответств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овать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специальным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субподрядчик должен только в части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объема поставки продукции, который ему </w:t>
      </w:r>
      <w:bookmarkEnd w:id="66"/>
      <w:r>
        <w:rPr>
          <w:rFonts w:ascii="Times New Roman" w:hAnsi="Times New Roman" w:eastAsia="Times New Roman" w:cs="Times New Roman"/>
          <w:sz w:val="24"/>
          <w:szCs w:val="24"/>
        </w:rPr>
        <w:t xml:space="preserve">поруч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 соответствии с представленным в Техническом предложении Планом распределения объемов поставки продукции (форма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(</w:t>
      </w:r>
      <w:hyperlink w:tooltip="#Прил04_ФормыЗаявки" w:anchor="Прил04_ФормыЗаявк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Приложение № 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оценке и сопоставлении заявки Генерального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подрядчика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квалификационным критериям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если они установлены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</w:t>
      </w:r>
      <w:hyperlink w:tooltip="#Прил08_ПорядокОценки" w:anchor="Прил08_ПорядокОценк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Порядке и критериях оценки и сопоставления заявок (Приложение №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8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количественные параметры деятельности Генерального подрядчика и субподрядчиков суммируются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наличие требуемого опыта, обеспеченность материально-техническими ресурсами и кадровыми ресурсами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67" w:name="_Ref125361799"/>
      <w:r>
        <w:rPr>
          <w:rFonts w:ascii="Times New Roman" w:hAnsi="Times New Roman" w:eastAsia="Times New Roman" w:cs="Times New Roman"/>
          <w:sz w:val="24"/>
          <w:szCs w:val="24"/>
        </w:rPr>
        <w:t xml:space="preserve">Любое юридическое или физическое лицо (в том числе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индивидуальный предприниматель) может являться субподрядчиком у произвольного числа Генеральных подрядчиков, а также имеет право самостоятельно принимать участие в закупке.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Каждый Генеральный подрядчик может подать только одну заявку и не может быть субподрядчиком у других Генеральных подрядчиков. В случае невыполнения этих требований заявки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участием таких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лиц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будут отклонены без рассмотрения по существу.</w:t>
      </w:r>
      <w:bookmarkEnd w:id="67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подразделом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 предусмотрен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рассмотрение и оценка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 Участников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учетом привлекаемых субподрядчиков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то при рассмотрении и оценке заявок к учету принимаются исключительно сведения о самом Участнике,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связи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чем Участник не обязан предоставлять документы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привлекаемых им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субподрядчиков, указанные в 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_Ref125709973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Требований к Участникам (Приложение № 3)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 Ответственность за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2" w:name="_Toc15"/>
      <w:r>
        <w:rPr>
          <w:rFonts w:ascii="Times New Roman" w:hAnsi="Times New Roman" w:eastAsia="Times New Roman" w:cs="Times New Roman"/>
          <w:sz w:val="24"/>
          <w:szCs w:val="24"/>
        </w:rPr>
      </w:r>
      <w:bookmarkStart w:id="68" w:name="_Ref125361211"/>
      <w:r>
        <w:rPr>
          <w:rFonts w:ascii="Times New Roman" w:hAnsi="Times New Roman" w:eastAsia="Times New Roman" w:cs="Times New Roman"/>
          <w:sz w:val="24"/>
          <w:szCs w:val="24"/>
        </w:rPr>
      </w:r>
      <w:bookmarkStart w:id="69" w:name="_Ref125367098"/>
      <w:r>
        <w:rPr>
          <w:rFonts w:ascii="Times New Roman" w:hAnsi="Times New Roman" w:eastAsia="Times New Roman" w:cs="Times New Roman"/>
          <w:sz w:val="24"/>
          <w:szCs w:val="24"/>
        </w:rPr>
      </w:r>
      <w:bookmarkStart w:id="70" w:name="_Ref125367107"/>
      <w:r>
        <w:rPr>
          <w:rFonts w:ascii="Times New Roman" w:hAnsi="Times New Roman" w:eastAsia="Times New Roman" w:cs="Times New Roman"/>
          <w:sz w:val="24"/>
          <w:szCs w:val="24"/>
        </w:rPr>
      </w:r>
      <w:bookmarkStart w:id="71" w:name="_Ref125367974"/>
      <w:r>
        <w:rPr>
          <w:rFonts w:ascii="Times New Roman" w:hAnsi="Times New Roman" w:eastAsia="Times New Roman" w:cs="Times New Roman"/>
          <w:sz w:val="24"/>
          <w:szCs w:val="24"/>
        </w:rPr>
        <w:t xml:space="preserve">Порядок проведения закупки</w:t>
      </w:r>
      <w:bookmarkEnd w:id="68"/>
      <w:r>
        <w:rPr>
          <w:rFonts w:ascii="Times New Roman" w:hAnsi="Times New Roman" w:eastAsia="Times New Roman" w:cs="Times New Roman"/>
          <w:sz w:val="24"/>
          <w:szCs w:val="24"/>
        </w:rPr>
      </w:r>
      <w:bookmarkEnd w:id="69"/>
      <w:r>
        <w:rPr>
          <w:rFonts w:ascii="Times New Roman" w:hAnsi="Times New Roman" w:eastAsia="Times New Roman" w:cs="Times New Roman"/>
          <w:sz w:val="24"/>
          <w:szCs w:val="24"/>
        </w:rPr>
      </w:r>
      <w:bookmarkEnd w:id="70"/>
      <w:r>
        <w:rPr>
          <w:rFonts w:ascii="Times New Roman" w:hAnsi="Times New Roman" w:eastAsia="Times New Roman" w:cs="Times New Roman"/>
          <w:sz w:val="24"/>
          <w:szCs w:val="24"/>
        </w:rPr>
      </w:r>
      <w:bookmarkEnd w:id="71"/>
      <w:r>
        <w:rPr>
          <w:rFonts w:ascii="Times New Roman" w:hAnsi="Times New Roman" w:eastAsia="Times New Roman" w:cs="Times New Roman"/>
          <w:sz w:val="24"/>
          <w:szCs w:val="24"/>
        </w:rPr>
      </w:r>
      <w:bookmarkEnd w:id="372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3" w:name="_Toc16"/>
      <w:r>
        <w:rPr>
          <w:rFonts w:ascii="Times New Roman" w:hAnsi="Times New Roman" w:eastAsia="Times New Roman" w:cs="Times New Roman"/>
          <w:sz w:val="24"/>
          <w:szCs w:val="24"/>
        </w:rPr>
      </w:r>
      <w:bookmarkStart w:id="73" w:name="_Ref126141932"/>
      <w:r>
        <w:rPr>
          <w:rFonts w:ascii="Times New Roman" w:hAnsi="Times New Roman" w:eastAsia="Times New Roman" w:cs="Times New Roman"/>
          <w:sz w:val="24"/>
          <w:szCs w:val="24"/>
        </w:rPr>
        <w:t xml:space="preserve">Общий порядок проведения закупки</w:t>
      </w:r>
      <w:bookmarkEnd w:id="73"/>
      <w:r>
        <w:rPr>
          <w:rFonts w:ascii="Times New Roman" w:hAnsi="Times New Roman" w:eastAsia="Times New Roman" w:cs="Times New Roman"/>
          <w:sz w:val="24"/>
          <w:szCs w:val="24"/>
        </w:rPr>
      </w:r>
      <w:bookmarkEnd w:id="37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Закупка проводится в следующем порядке: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1170"/>
        <w:tblW w:w="14007" w:type="dxa"/>
        <w:tblInd w:w="11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"/>
        <w:gridCol w:w="2041"/>
        <w:gridCol w:w="1176"/>
        <w:gridCol w:w="3218"/>
        <w:gridCol w:w="2694"/>
        <w:gridCol w:w="2268"/>
        <w:gridCol w:w="2236"/>
      </w:tblGrid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r>
          </w:p>
        </w:tc>
        <w:tc>
          <w:tcPr>
            <w:gridSpan w:val="6"/>
            <w:tcBorders>
              <w:bottom w:val="single" w:color="7F7F7F" w:themeColor="text1" w:themeTint="80" w:sz="4" w:space="0"/>
              <w:right w:val="none" w:color="000000" w:sz="4" w:space="0"/>
            </w:tcBorders>
            <w:tcW w:w="13633" w:type="dxa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</w:rPr>
              <w:t xml:space="preserve">Официальное размещение Извещения и Документации о закупке 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</w:rPr>
              <w:instrText xml:space="preserve"> REF _Ref130286532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</w:rPr>
              <w:t xml:space="preserve">4.2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3"/>
            <w:tcW w:w="6435" w:type="dxa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Подготовка заявки 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_Ref130281199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restart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Предоставление разъяснений положений Документации о закупке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_Ref130394205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Внесение изменений в Извещение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(или)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Документацию о закупке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_Ref125362076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4.5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restart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Отказ от проведения закупки (отмена закупки)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_Ref132816134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4.17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041" w:type="dxa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Подача заявок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и их прием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_Ref125362119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4.6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W w:w="4394" w:type="dxa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Изменение и отзыв заявок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_Ref125362130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4.7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5"/>
            <w:tcW w:w="11397" w:type="dxa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Открытия доступа к первым частям заявок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_Ref132816188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4.8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  <w:right w:val="none" w:color="000000" w:sz="4" w:space="0"/>
            </w:tcBorders>
            <w:tcW w:w="2236" w:type="dxa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W w:w="3217" w:type="dxa"/>
            <w:vAlign w:val="center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Рассмотрение первых частей заявок (отборочная стадия)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_Ref125362364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4.9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218" w:type="dxa"/>
            <w:vAlign w:val="center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(предоставление национального режима или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запрета)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_Ref132816300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694" w:type="dxa"/>
            <w:vAlign w:val="center"/>
            <w:vMerge w:val="restart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4.12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Признание закупки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несостоявшейся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_Ref125364149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4.16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restart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Отказ от проведения закупки (отмена закупки) по обстоятельствам непреодолимой силы в соответствии с гражданским законодательством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_Ref132816141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4.17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(опциональная процедура закупки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3"/>
            <w:tcW w:w="6435" w:type="dxa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Открытие доступа ко вторым частям заявок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ценовым предложениям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_Ref132801184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4.10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bottom w:val="single" w:color="7F7F7F" w:themeColor="text1" w:themeTint="80" w:sz="4" w:space="0"/>
            </w:tcBorders>
            <w:tcW w:w="6435" w:type="dxa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Рассмотрение вторых частей заявок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(отборочная стадия)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, 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том числе (при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необходимости) проведение аккредитации,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и ценовых предложений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_Ref132797154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4.11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627"/>
        </w:trPr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041" w:type="dxa"/>
            <w:vAlign w:val="center"/>
            <w:vMerge w:val="restart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Оценка и сопоставлени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заявок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_Ref125362626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4.13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W w:w="4394" w:type="dxa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части учета установленного преимущества в цене предложения, если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применимо)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_Ref132816300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4"/>
            <w:tcW w:w="9129" w:type="dxa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Подведение итогов закупки (определение Победителя) 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_Ref125362658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4.15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u w:val="single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W w:w="3217" w:type="dxa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Заключение Договора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_Ref138341423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5.2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218" w:type="dxa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части ограничения на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стадии заключения договора)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(подраздел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_Ref132816300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right w:val="none" w:color="000000" w:sz="4" w:space="0"/>
            </w:tcBorders>
            <w:tcW w:w="7198" w:type="dxa"/>
            <w:textDirection w:val="lrTb"/>
            <w:noWrap w:val="false"/>
          </w:tcPr>
          <w:p>
            <w:pPr>
              <w:pStyle w:val="1149"/>
              <w:jc w:val="center"/>
              <w:spacing w:before="40" w:after="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Уклонение Победителя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от заключения Договора (подраздел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instrText xml:space="preserve"> REF _Ref125367068 \r \h </w:instrTex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5.3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</w:tbl>
    <w:p>
      <w:pPr>
        <w:pStyle w:val="11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75" w:name="_Ref12536206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4" w:name="_Toc17"/>
      <w:r>
        <w:rPr>
          <w:rFonts w:ascii="Times New Roman" w:hAnsi="Times New Roman" w:eastAsia="Times New Roman" w:cs="Times New Roman"/>
          <w:sz w:val="24"/>
          <w:szCs w:val="24"/>
        </w:rPr>
      </w:r>
      <w:bookmarkStart w:id="76" w:name="_Ref130286532"/>
      <w:r>
        <w:rPr>
          <w:rFonts w:ascii="Times New Roman" w:hAnsi="Times New Roman" w:eastAsia="Times New Roman" w:cs="Times New Roman"/>
          <w:sz w:val="24"/>
          <w:szCs w:val="24"/>
        </w:rPr>
        <w:t xml:space="preserve">Официальное размещение Извещения и Документации о закупке</w:t>
      </w:r>
      <w:bookmarkEnd w:id="75"/>
      <w:r>
        <w:rPr>
          <w:rFonts w:ascii="Times New Roman" w:hAnsi="Times New Roman" w:eastAsia="Times New Roman" w:cs="Times New Roman"/>
          <w:sz w:val="24"/>
          <w:szCs w:val="24"/>
        </w:rPr>
      </w:r>
      <w:bookmarkEnd w:id="76"/>
      <w:r>
        <w:rPr>
          <w:rFonts w:ascii="Times New Roman" w:hAnsi="Times New Roman" w:eastAsia="Times New Roman" w:cs="Times New Roman"/>
          <w:sz w:val="24"/>
          <w:szCs w:val="24"/>
        </w:rPr>
      </w:r>
      <w:bookmarkEnd w:id="37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Извещение и Документация о закупке официально размещены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 Официальном сайте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ЕИС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доступны для ознакомления без взимания платы. Иные публикации не влекут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Организатора никаких последствий.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возникновении технических или иных неполадок, блокирующих доступ к Официальному сайту (ЕИС) в течение более чем 1 (одного) рабочего дня, информация размещается на официальном сайте Заказчика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последующим размещением ее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Официальном сайте (ЕИС) в течение 1 (одного) рабочего дня со дня устранения указанных неполадок.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78" w:name="_Ref125362785"/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частники могут получить Документацию о закупке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также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через ЭП. Порядок получения информации через ЭП определяется Регламентом ЭП,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использованием которой проводится закупка.</w:t>
      </w:r>
      <w:bookmarkEnd w:id="7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5" w:name="_Toc18"/>
      <w:r>
        <w:rPr>
          <w:rFonts w:ascii="Times New Roman" w:hAnsi="Times New Roman" w:eastAsia="Times New Roman" w:cs="Times New Roman"/>
          <w:sz w:val="24"/>
          <w:szCs w:val="24"/>
        </w:rPr>
      </w:r>
      <w:bookmarkStart w:id="79" w:name="_Ref130281199"/>
      <w:r>
        <w:rPr>
          <w:rFonts w:ascii="Times New Roman" w:hAnsi="Times New Roman" w:eastAsia="Times New Roman" w:cs="Times New Roman"/>
          <w:sz w:val="24"/>
          <w:szCs w:val="24"/>
        </w:rPr>
      </w:r>
      <w:bookmarkStart w:id="80" w:name="_Ref130394681"/>
      <w:r>
        <w:rPr>
          <w:rFonts w:ascii="Times New Roman" w:hAnsi="Times New Roman" w:eastAsia="Times New Roman" w:cs="Times New Roman"/>
          <w:sz w:val="24"/>
          <w:szCs w:val="24"/>
        </w:rPr>
        <w:t xml:space="preserve">Подготовка заявки</w:t>
      </w:r>
      <w:bookmarkEnd w:id="79"/>
      <w:r>
        <w:rPr>
          <w:rFonts w:ascii="Times New Roman" w:hAnsi="Times New Roman" w:eastAsia="Times New Roman" w:cs="Times New Roman"/>
          <w:sz w:val="24"/>
          <w:szCs w:val="24"/>
        </w:rPr>
      </w:r>
      <w:bookmarkEnd w:id="80"/>
      <w:r>
        <w:rPr>
          <w:rFonts w:ascii="Times New Roman" w:hAnsi="Times New Roman" w:eastAsia="Times New Roman" w:cs="Times New Roman"/>
          <w:sz w:val="24"/>
          <w:szCs w:val="24"/>
        </w:rPr>
      </w:r>
      <w:bookmarkEnd w:id="375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должен подготовить заявку с учетом требований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Документации о 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самостоятельно несет все расходы, связанные с подготовкой и подачей заявки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_Ref125362119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4.6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а Организатор (Заказчик) по этим расходам не отвеч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ает и не имеет обязательств (в том числе по возврату Участнику материалов и документов, входящих в состав его заявки), независимо от хода и результатов закупки, за исключением случаев, прямо предусмотренных Положением о закупке или Документацией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82" w:name="_Ref125365866"/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должен подготовить заявку, включающую в себя полный комплект документов согласно перечню, определенному </w:t>
      </w:r>
      <w:hyperlink w:tooltip="#Прил06_СоставЗаявки" w:anchor="Прил06_СоставЗаявк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Приложением №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6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 – Состав заявки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 Образцы форм документов, включаемых в состав заявки, а также инструкции по их подготовке, приведены в </w:t>
      </w:r>
      <w:hyperlink w:tooltip="#Прил04_ФормыЗаявки" w:anchor="Прил04_ФормыЗаявк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части: </w:t>
      </w:r>
      <w:bookmarkStart w:id="83" w:name="_Hlk132886098"/>
      <w:r>
        <w:rPr>
          <w:rFonts w:ascii="Times New Roman" w:hAnsi="Times New Roman" w:eastAsia="Times New Roman" w:cs="Times New Roman"/>
          <w:sz w:val="24"/>
          <w:szCs w:val="24"/>
        </w:rPr>
        <w:t xml:space="preserve">первую часть, вторую часть и ценовое предложение</w:t>
      </w:r>
      <w:bookmarkEnd w:id="83"/>
      <w:r>
        <w:rPr>
          <w:rFonts w:ascii="Times New Roman" w:hAnsi="Times New Roman" w:eastAsia="Times New Roman" w:cs="Times New Roman"/>
          <w:sz w:val="24"/>
          <w:szCs w:val="24"/>
        </w:rPr>
        <w:t xml:space="preserve"> в соответствии с перечнем документов, входящих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каждую из частей,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определенному </w:t>
      </w:r>
      <w:hyperlink w:tooltip="#Прил06_СоставЗаявки" w:anchor="Прил06_СоставЗаявк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Приложением № 6 – Состав заявки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В первую часть заявки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должны входить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 документы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содержащие исключительно описание предлагаемой к поставке продукции, которая является предметом настоящей закупки (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yellow"/>
        </w:rPr>
        <w:t xml:space="preserve">без указания сведений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 об Участнике и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 о его ценовом предложении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а также информаци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документы, необходимые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осуществления оценки заявки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отношении предлагаемой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поставке продукции (в случае установления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оответствующих критериев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оценки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hyperlink w:tooltip="#Прил08_ПорядокОценки" w:anchor="Прил08_ПорядокОценк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Порядке и критериях оценки и сопоставления заявок (Приложение № 8)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Во вторую часть заявки должны входить документы, содержащие сведения 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Участнике и информацию о его соответствии требованиям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закупке, копии документов, подтверждающих соответствие поставляемой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продукции, требованиям Документации о закупке, установленным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 законодательством (в случае установления таких требований в Документации о закупке), а также информаци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документы, необходимые для осуществления оценки заявки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отношении Участника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установления соответствующих критериев оценки в </w:t>
      </w:r>
      <w:hyperlink w:tooltip="#Прил08_ПорядокОценки" w:anchor="Прил08_ПорядокОценк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Порядке и критериях оценки и сопоставления заявок (Приложение № 8)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этом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документы, входящие в состав первой части заявки, не должны подаваться на фирменном бланке Участника или иным образом содержать сведения, идентифицирующие его (наименование, адрес местонахождения, номер контактного телефона, адрес электронной почты, сайт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информационно-телекоммуникационной сети «Интернет» и т.п.).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обнаружения в первой части заявки сведений об Участнике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его ценовом предложении, такая заявка подлежит отклонению.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84" w:name="_Ref130394854"/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имеет право подать только одну за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явку. При этом не допускается подача заявки на часть лота по отдельным видам или объемам продукции. В случае нарушения этого требования (при получении двух и более заявок от одного Участника в рамках одного лота) все поданные им заявки подлежат отклонению.</w:t>
      </w:r>
      <w:bookmarkEnd w:id="82"/>
      <w:r>
        <w:rPr>
          <w:rFonts w:ascii="Times New Roman" w:hAnsi="Times New Roman" w:eastAsia="Times New Roman" w:cs="Times New Roman"/>
          <w:sz w:val="24"/>
          <w:szCs w:val="24"/>
        </w:rPr>
      </w:r>
      <w:bookmarkEnd w:id="8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85" w:name="_Ref125361260"/>
      <w:r>
        <w:rPr>
          <w:rFonts w:ascii="Times New Roman" w:hAnsi="Times New Roman" w:eastAsia="Times New Roman" w:cs="Times New Roman"/>
          <w:sz w:val="24"/>
          <w:szCs w:val="24"/>
        </w:rPr>
      </w:r>
      <w:bookmarkStart w:id="86" w:name="_Ref125362071"/>
      <w:r>
        <w:rPr>
          <w:rFonts w:ascii="Times New Roman" w:hAnsi="Times New Roman" w:eastAsia="Times New Roman" w:cs="Times New Roman"/>
          <w:sz w:val="24"/>
          <w:szCs w:val="24"/>
        </w:rPr>
      </w:r>
      <w:bookmarkStart w:id="87" w:name="_Ref125366672"/>
      <w:r>
        <w:rPr>
          <w:rFonts w:ascii="Times New Roman" w:hAnsi="Times New Roman" w:eastAsia="Times New Roman" w:cs="Times New Roman"/>
          <w:sz w:val="24"/>
          <w:szCs w:val="24"/>
        </w:rPr>
        <w:t xml:space="preserve">Заявка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должна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быть действительна в течение срока проведения закупки и до истечения срока, отведенного на заключение Договора (пункт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_Ref130293821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5.2.1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 В любом случае этот срок должен быть не менее чем 90 (девяносто) календарных дней с даты окончания срока подачи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 Указание меньшего срока действия заявки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Письме о подаче оферты (форма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(</w:t>
      </w:r>
      <w:hyperlink w:tooltip="#Прил04_ФормыЗаявки" w:anchor="Прил04_ФормыЗаявк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 может служить основанием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отклонения заявки.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Все документы, входящие 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состав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должны быть подготовлены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русском языке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Исключение составляют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оригиналы которых выданы Участнику третьими лицами на ином языке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 они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могут быть представлены на языке оригинала при условии, что к ним приложен перевод этих документов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русский язык (в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специально оговоренных случаях –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апостилем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согласно Гаагской конвенции 1961 года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 Наличие противоречий между оригиналом документа и его переводом, которые искажают содержание представленного документа, будет расцениваться Организатором как предоставление недостоверных сведений. Организатор вправе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рассматривать документы,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переведенные на русский язык.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Все суммы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денежных средств в документах, входящих в состав заявки, должны быть выражены в российских рублях. Исключение составляют документы, оригиналы которых выданы Участнику третьими лицами с выражением сумм денежных средств в иных валютах: они могут быть предст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авлены в валюте оригинала при условии, что к ним будут приложены комментарии с переводом этих сумм в российские рубли (по официальному курсу валюты, установленному Центральным банком Российской Федерации на дату выдачи документа, с указанием такого курса).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88" w:name="_Ref125370700"/>
      <w:r>
        <w:rPr>
          <w:rFonts w:ascii="Times New Roman" w:hAnsi="Times New Roman" w:eastAsia="Times New Roman" w:cs="Times New Roman"/>
          <w:sz w:val="24"/>
          <w:szCs w:val="24"/>
        </w:rPr>
      </w:r>
      <w:bookmarkStart w:id="89" w:name="_Ref125370708"/>
      <w:r>
        <w:rPr>
          <w:rFonts w:ascii="Times New Roman" w:hAnsi="Times New Roman" w:eastAsia="Times New Roman" w:cs="Times New Roman"/>
          <w:sz w:val="24"/>
          <w:szCs w:val="24"/>
        </w:rPr>
        <w:t xml:space="preserve">Итоговая стоимость заявки (цена Договора) без учета НДС не должна превышать установленную Заказчиком НМЦ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в противном случае заявка будет отклонена.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Итоговая стоимость заявки (цена Договора) должна включать в себя сумму всех расходов, предусмотренных </w:t>
      </w:r>
      <w:hyperlink w:tooltip="#Прил01_ТехТребования" w:anchor="Прил01_ТехТребования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Техническими требованиями (Приложение № 1)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 и </w:t>
      </w:r>
      <w:hyperlink w:tooltip="#Прил02_ПроектДоговора" w:anchor="Прил02_ПроектДоговора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Проектом договора (Приложение № 2)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 а также сумму налогов и других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обязательных платежей, подлежащих уплате в соответствии с нормами законодательства (если иное не установлено Документацией о закупке). 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этом сумма НДС (в случае его уплаты) выделяется отдельно и не входит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итоговую стоимость заявки Участника, являющегося плательщиком НДС.</w:t>
      </w:r>
      <w:bookmarkEnd w:id="88"/>
      <w:r>
        <w:rPr>
          <w:rFonts w:ascii="Times New Roman" w:hAnsi="Times New Roman" w:eastAsia="Times New Roman" w:cs="Times New Roman"/>
          <w:sz w:val="24"/>
          <w:szCs w:val="24"/>
        </w:rPr>
      </w:r>
      <w:bookmarkEnd w:id="8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качестве Технического предложения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в составе заявк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предоставляет по установленной форме (форма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4; </w:t>
      </w:r>
      <w:hyperlink w:tooltip="#Прил04_ФормыЗаявки" w:anchor="Прил04_ФормыЗаявк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 согласие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(декларацию) на поставку продукции на условиях, указанных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 том числе в </w:t>
      </w:r>
      <w:hyperlink w:tooltip="#Прил01_ТехТребования" w:anchor="Прил01_ТехТребования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Технических требованиях (Приложение №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1)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подлежащих изменению по результатам проведения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без подробных предложений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случае нарушения Участником требований к описанию продукции Организатор вправе отклонить заявку такого Участника от дальнейшего участия в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93" w:name="_Ref125370398"/>
      <w:r>
        <w:rPr>
          <w:rFonts w:ascii="Times New Roman" w:hAnsi="Times New Roman" w:eastAsia="Times New Roman" w:cs="Times New Roman"/>
          <w:sz w:val="24"/>
          <w:szCs w:val="24"/>
        </w:rPr>
      </w:r>
      <w:bookmarkStart w:id="94" w:name="_Ref125714384"/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Документы, входящие в заявку, не должны содержать недостоверные сведения или намеренно искаженную информацию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акже должны отсутствовать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внутренние противоречия между различными частями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 (или)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документами заявки, в том числе по тексту внутри одного документа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противоречия между документами заявки и сведениями, указанными Участником в структурированных формах на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bookmarkEnd w:id="93"/>
      <w:r>
        <w:rPr>
          <w:rFonts w:ascii="Times New Roman" w:hAnsi="Times New Roman" w:eastAsia="Times New Roman" w:cs="Times New Roman"/>
          <w:sz w:val="24"/>
          <w:szCs w:val="24"/>
        </w:rPr>
      </w:r>
      <w:bookmarkEnd w:id="9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Представленные в составе заявки документы, оформленные / выданные государственными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лицензирующими, сертификационными, аккредитационными органами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саморегулируемыми организациями, должны соответствовать императивным требованиям (при наличии) законодательства в отношении: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полномочий таких органов / лиц на оформление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этих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документов;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формы, объема и содержания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этих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документов.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должен подготовить 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аявк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 соблюдением следующ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их условий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документы заявки могут предоставляться как в графическом виде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том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числе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виде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скан-копии, рекомендуемый формат: *.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pdf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так 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электронном виде (в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формате Microsoft Word (*.doc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x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Microsoft Excel (*.xls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x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и других)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Исключение составляют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выданны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Участнику третьими лицами, которые должны быть предоставлены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только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графическом виде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том числе в виде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скан-копии, рекомендуемый формат: *.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pdf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электронные копии документов, заверенные трет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ьей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стороной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должны включать в себя, в том числе, страницы с требуемой отметкой по форме заверения документа (электронная подпись / отметка ИФНС / отметка нотариуса и т.п.);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все файлы не должны иметь защиты от их открытия, изменения, копирования их содержимого или их печати;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файлы электронной заявки рекомендуется именовать так, чтобы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можно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было идентифицировать содержание данного файла заявки (указать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названии файла содержащийся в нем документ). Каждый документ рекомендуется размещать в отдельном файле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сли какой-либо документ представлен в нечитаемом виде, данный документ считается непредставленным.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Никакие исправления в документах заявки не имеют силу, за исключением тех случаев, когда эти исправления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заверены надписью «исправленному верить»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собственноручной подписью уполномоченного лица Участника, расположенной рядом с каждым исправлением.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6" w:name="_Toc19"/>
      <w:r>
        <w:rPr>
          <w:rFonts w:ascii="Times New Roman" w:hAnsi="Times New Roman" w:eastAsia="Times New Roman" w:cs="Times New Roman"/>
          <w:sz w:val="24"/>
          <w:szCs w:val="24"/>
        </w:rPr>
      </w:r>
      <w:bookmarkStart w:id="95" w:name="_Ref130394205"/>
      <w:r>
        <w:rPr>
          <w:rFonts w:ascii="Times New Roman" w:hAnsi="Times New Roman" w:eastAsia="Times New Roman" w:cs="Times New Roman"/>
          <w:sz w:val="24"/>
          <w:szCs w:val="24"/>
        </w:rPr>
      </w:r>
      <w:bookmarkStart w:id="96" w:name="_Ref130394785"/>
      <w:r>
        <w:rPr>
          <w:rFonts w:ascii="Times New Roman" w:hAnsi="Times New Roman" w:eastAsia="Times New Roman" w:cs="Times New Roman"/>
          <w:sz w:val="24"/>
          <w:szCs w:val="24"/>
        </w:rPr>
      </w:r>
      <w:bookmarkStart w:id="97" w:name="_Ref130394802"/>
      <w:r>
        <w:rPr>
          <w:rFonts w:ascii="Times New Roman" w:hAnsi="Times New Roman" w:eastAsia="Times New Roman" w:cs="Times New Roman"/>
          <w:sz w:val="24"/>
          <w:szCs w:val="24"/>
        </w:rPr>
        <w:t xml:space="preserve">Разъяснение Документации о закупке</w:t>
      </w:r>
      <w:bookmarkEnd w:id="85"/>
      <w:r>
        <w:rPr>
          <w:rFonts w:ascii="Times New Roman" w:hAnsi="Times New Roman" w:eastAsia="Times New Roman" w:cs="Times New Roman"/>
          <w:sz w:val="24"/>
          <w:szCs w:val="24"/>
        </w:rPr>
      </w:r>
      <w:bookmarkEnd w:id="86"/>
      <w:r>
        <w:rPr>
          <w:rFonts w:ascii="Times New Roman" w:hAnsi="Times New Roman" w:eastAsia="Times New Roman" w:cs="Times New Roman"/>
          <w:sz w:val="24"/>
          <w:szCs w:val="24"/>
        </w:rPr>
      </w:r>
      <w:bookmarkEnd w:id="87"/>
      <w:r>
        <w:rPr>
          <w:rFonts w:ascii="Times New Roman" w:hAnsi="Times New Roman" w:eastAsia="Times New Roman" w:cs="Times New Roman"/>
          <w:sz w:val="24"/>
          <w:szCs w:val="24"/>
        </w:rPr>
      </w:r>
      <w:bookmarkEnd w:id="95"/>
      <w:r>
        <w:rPr>
          <w:rFonts w:ascii="Times New Roman" w:hAnsi="Times New Roman" w:eastAsia="Times New Roman" w:cs="Times New Roman"/>
          <w:sz w:val="24"/>
          <w:szCs w:val="24"/>
        </w:rPr>
      </w:r>
      <w:bookmarkEnd w:id="96"/>
      <w:r>
        <w:rPr>
          <w:rFonts w:ascii="Times New Roman" w:hAnsi="Times New Roman" w:eastAsia="Times New Roman" w:cs="Times New Roman"/>
          <w:sz w:val="24"/>
          <w:szCs w:val="24"/>
        </w:rPr>
      </w:r>
      <w:bookmarkEnd w:id="97"/>
      <w:r>
        <w:rPr>
          <w:rFonts w:ascii="Times New Roman" w:hAnsi="Times New Roman" w:eastAsia="Times New Roman" w:cs="Times New Roman"/>
          <w:sz w:val="24"/>
          <w:szCs w:val="24"/>
        </w:rPr>
      </w:r>
      <w:bookmarkEnd w:id="376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Участники вправе обратиться к Организатору за разъяснениями Документации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апросы подаются в соответствии с Регламентами и инструкциями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ператора ЭП, опубликованными на сайте соответствующей ЭП.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обязуется ответить на любой вопрос, поступивший не позднее чем за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(три) рабочих дня до даты окончания срока подачи заявок.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поступления вопросов с нарушением установленного срока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Организатор вправе не предоставлять разъяснения.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Ответы на поступившие вопросы официально размещаются (с указанием предмета запроса, но без указания Участника, от которого поступил вопрос)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сроки, установленные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подразделом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но в любом случае не позднее чем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течение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рабочих дней с даты поступления такого запроса.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Копия ответа размещается Организатором на ЭП.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также вправе по собственной инициативе (без получения запросов от Участников) официально разместить разъяснения Документации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Разъяснения Документации о закупке носят справочный характер и не могут изменять предмет закупки и условия </w:t>
      </w:r>
      <w:hyperlink w:tooltip="#Прил02_ПроектДоговора" w:anchor="Прил02_ПроектДоговора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роекта 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д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оговора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 (Приложения № 2)</w:t>
        </w:r>
      </w:hyperlink>
      <w:r>
        <w:rPr>
          <w:rStyle w:val="1173"/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противном случае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вносятся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изменения в Документацию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закупке. При этом Участники обязаны учитывать разъяснения Организатора при подготовке своих заявок. Все риски и последствия за подачу заявки без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учета официально размещенных разъяснений несет Участник.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получения Участником любой иной информации в отношении условий проводимой закупки в порядке, не предусмотренном настоящим подразделом, такая информация не считается официальной, и Участник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вправе на нее ссылаться.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7" w:name="_Toc20"/>
      <w:r>
        <w:rPr>
          <w:rFonts w:ascii="Times New Roman" w:hAnsi="Times New Roman" w:eastAsia="Times New Roman" w:cs="Times New Roman"/>
          <w:sz w:val="24"/>
          <w:szCs w:val="24"/>
        </w:rPr>
      </w:r>
      <w:bookmarkStart w:id="99" w:name="_Ref125362076"/>
      <w:r>
        <w:rPr>
          <w:rFonts w:ascii="Times New Roman" w:hAnsi="Times New Roman" w:eastAsia="Times New Roman" w:cs="Times New Roman"/>
          <w:sz w:val="24"/>
          <w:szCs w:val="24"/>
        </w:rPr>
      </w:r>
      <w:bookmarkStart w:id="100" w:name="_Ref125363891"/>
      <w:r>
        <w:rPr>
          <w:rFonts w:ascii="Times New Roman" w:hAnsi="Times New Roman" w:eastAsia="Times New Roman" w:cs="Times New Roman"/>
          <w:sz w:val="24"/>
          <w:szCs w:val="24"/>
        </w:rPr>
      </w:r>
      <w:bookmarkStart w:id="101" w:name="_Ref125364404"/>
      <w:r>
        <w:rPr>
          <w:rFonts w:ascii="Times New Roman" w:hAnsi="Times New Roman" w:eastAsia="Times New Roman" w:cs="Times New Roman"/>
          <w:sz w:val="24"/>
          <w:szCs w:val="24"/>
        </w:rPr>
        <w:t xml:space="preserve">Изменения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Извещени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(или)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 закупке</w:t>
      </w:r>
      <w:bookmarkEnd w:id="99"/>
      <w:r>
        <w:rPr>
          <w:rFonts w:ascii="Times New Roman" w:hAnsi="Times New Roman" w:eastAsia="Times New Roman" w:cs="Times New Roman"/>
          <w:sz w:val="24"/>
          <w:szCs w:val="24"/>
        </w:rPr>
      </w:r>
      <w:bookmarkEnd w:id="100"/>
      <w:r>
        <w:rPr>
          <w:rFonts w:ascii="Times New Roman" w:hAnsi="Times New Roman" w:eastAsia="Times New Roman" w:cs="Times New Roman"/>
          <w:sz w:val="24"/>
          <w:szCs w:val="24"/>
        </w:rPr>
      </w:r>
      <w:bookmarkEnd w:id="101"/>
      <w:r>
        <w:rPr>
          <w:rFonts w:ascii="Times New Roman" w:hAnsi="Times New Roman" w:eastAsia="Times New Roman" w:cs="Times New Roman"/>
          <w:sz w:val="24"/>
          <w:szCs w:val="24"/>
        </w:rPr>
      </w:r>
      <w:bookmarkEnd w:id="377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в любой момент до окончания срока подачи заявок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вправе внести изменения в Извещение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Документацию о закупке. 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этом официальному размещению подлежит обновленная редакция Извещения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Документации о закупке, а также перечень внесенных изменений в них.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03" w:name="_Ref125550844"/>
      <w:r>
        <w:rPr>
          <w:rFonts w:ascii="Times New Roman" w:hAnsi="Times New Roman" w:eastAsia="Times New Roman" w:cs="Times New Roman"/>
          <w:sz w:val="24"/>
          <w:szCs w:val="24"/>
        </w:rPr>
        <w:t xml:space="preserve">После окончания срока подачи заявок допускается изменени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только в части установленных Документацией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дат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рассмотрения первых частей заявок;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рассмотрения вторых частей заявок и ценовых предложений;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подведения итогов закупки;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пределах срока действия заявок и с уведомлением Участников, подавших заявки.</w:t>
      </w:r>
      <w:bookmarkEnd w:id="10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Текст изменений официально размещается в течение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календарных дней со дня принятия решения о внесении указанных изменений.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Участники, официально получившие Документацию о закупке через ЭП, получат соответствующие уведомления в порядке, установленном Регламентом ЭП.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внесении изменений в Документацию о закупке (за исключением указанного в пункте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_Ref125550844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4.5.2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срок подачи заявок будет продлен таким образом, чтобы со дня официального размещения таких изменений до даты окончания подачи заявок оставалось не менее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половины от минимального срока подачи заявок, установленного в Положении о закупке для данного способа, а именно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 менее 3 (трех) рабочих дней.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Участники обязаны учитывать внесенные изменения при подготовке своих заявок. Все риски и последствия за подачу заявки без учета официально размещенных изменений несет Участник.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8" w:name="_Toc21"/>
      <w:r>
        <w:rPr>
          <w:rFonts w:ascii="Times New Roman" w:hAnsi="Times New Roman" w:eastAsia="Times New Roman" w:cs="Times New Roman"/>
          <w:sz w:val="24"/>
          <w:szCs w:val="24"/>
        </w:rPr>
      </w:r>
      <w:bookmarkStart w:id="104" w:name="_Ref125362119"/>
      <w:r>
        <w:rPr>
          <w:rFonts w:ascii="Times New Roman" w:hAnsi="Times New Roman" w:eastAsia="Times New Roman" w:cs="Times New Roman"/>
          <w:sz w:val="24"/>
          <w:szCs w:val="24"/>
        </w:rPr>
        <w:t xml:space="preserve">Подача заявок и их прием</w:t>
      </w:r>
      <w:bookmarkEnd w:id="104"/>
      <w:r>
        <w:rPr>
          <w:rFonts w:ascii="Times New Roman" w:hAnsi="Times New Roman" w:eastAsia="Times New Roman" w:cs="Times New Roman"/>
          <w:sz w:val="24"/>
          <w:szCs w:val="24"/>
        </w:rPr>
      </w:r>
      <w:bookmarkEnd w:id="37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вправе подать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одну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подготовленную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участие в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любое время начиная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даты официального размещения Извещения и до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окончания срока подачи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 этом все части заявок, включая ценовое предложение Участника, подаются им одновременно.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Заявки, поданные позднее установленного срока,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могут быть приняты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независимо от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причин опоздания.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им Положения о закупке Заказчика и Документаци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 закупке (включая все приложения к ней).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Заявка должна быть подготовлена в форме электронного документа и подана с использованием функционала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доступном для прочтения формате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При этом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должен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сканировать документы после того, как они будут оформлены в соответствии с требованиями Документации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Заявка должна быть подписана электронной подписью лица, которое является уполномоченным представителем Участника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Правила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подачи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также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определяются Регламентом ЭП. Заявки, поданные через ЭП, дублировать в адрес Организатора по почте, электронной почте и другими способами не требуется. Заявки, полученные Организатором не через ЭП, не рассматриваются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Регламентом ЭП предусмотрено направление в составе заявки документов, представленных в момент аккредитации Участника на ЭП, Участник обязан обеспечить актуальность направляемых вместе с заявкой сведений.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 ЭП до окончания срока подачи заявок обеспечивает конфиденциальность информации, содержащейся в поданных заявках.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79" w:name="_Toc22"/>
      <w:r>
        <w:rPr>
          <w:rFonts w:ascii="Times New Roman" w:hAnsi="Times New Roman" w:eastAsia="Times New Roman" w:cs="Times New Roman"/>
          <w:sz w:val="24"/>
          <w:szCs w:val="24"/>
        </w:rPr>
      </w:r>
      <w:bookmarkStart w:id="106" w:name="_Ref125362130"/>
      <w:r>
        <w:rPr>
          <w:rFonts w:ascii="Times New Roman" w:hAnsi="Times New Roman" w:eastAsia="Times New Roman" w:cs="Times New Roman"/>
          <w:sz w:val="24"/>
          <w:szCs w:val="24"/>
        </w:rPr>
      </w:r>
      <w:bookmarkStart w:id="107" w:name="_Ref125362192"/>
      <w:r>
        <w:rPr>
          <w:rFonts w:ascii="Times New Roman" w:hAnsi="Times New Roman" w:eastAsia="Times New Roman" w:cs="Times New Roman"/>
          <w:sz w:val="24"/>
          <w:szCs w:val="24"/>
        </w:rPr>
      </w:r>
      <w:bookmarkStart w:id="108" w:name="_Ref125363819"/>
      <w:r>
        <w:rPr>
          <w:rFonts w:ascii="Times New Roman" w:hAnsi="Times New Roman" w:eastAsia="Times New Roman" w:cs="Times New Roman"/>
          <w:sz w:val="24"/>
          <w:szCs w:val="24"/>
        </w:rPr>
      </w:r>
      <w:bookmarkStart w:id="109" w:name="_Ref125365136"/>
      <w:r>
        <w:rPr>
          <w:rFonts w:ascii="Times New Roman" w:hAnsi="Times New Roman" w:eastAsia="Times New Roman" w:cs="Times New Roman"/>
          <w:sz w:val="24"/>
          <w:szCs w:val="24"/>
        </w:rPr>
        <w:t xml:space="preserve">Изменение и отзыв заявок</w:t>
      </w:r>
      <w:bookmarkEnd w:id="106"/>
      <w:r>
        <w:rPr>
          <w:rFonts w:ascii="Times New Roman" w:hAnsi="Times New Roman" w:eastAsia="Times New Roman" w:cs="Times New Roman"/>
          <w:sz w:val="24"/>
          <w:szCs w:val="24"/>
        </w:rPr>
      </w:r>
      <w:bookmarkEnd w:id="107"/>
      <w:r>
        <w:rPr>
          <w:rFonts w:ascii="Times New Roman" w:hAnsi="Times New Roman" w:eastAsia="Times New Roman" w:cs="Times New Roman"/>
          <w:sz w:val="24"/>
          <w:szCs w:val="24"/>
        </w:rPr>
      </w:r>
      <w:bookmarkEnd w:id="108"/>
      <w:r>
        <w:rPr>
          <w:rFonts w:ascii="Times New Roman" w:hAnsi="Times New Roman" w:eastAsia="Times New Roman" w:cs="Times New Roman"/>
          <w:sz w:val="24"/>
          <w:szCs w:val="24"/>
        </w:rPr>
      </w:r>
      <w:bookmarkEnd w:id="109"/>
      <w:r>
        <w:rPr>
          <w:rFonts w:ascii="Times New Roman" w:hAnsi="Times New Roman" w:eastAsia="Times New Roman" w:cs="Times New Roman"/>
          <w:sz w:val="24"/>
          <w:szCs w:val="24"/>
        </w:rPr>
      </w:r>
      <w:bookmarkEnd w:id="37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вправе изменить или отозвать поданную им ранее заявку до момента окончания срока подачи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Внесение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изменений в заявку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отзыв заявки после этого времени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допуска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тся, кроме случаев, прямо предусмотренных Документацией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Отзыв Участником ранее поданной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является отказом от участия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закупке, отозванные заявки не рассматриваются Организатором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 существу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Изменение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отзыв Участником ранее поданной заявки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существляется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порядке, аналогичном порядку подачи и приема заявок, установленному в 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_Ref125362119 \w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4.6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зменения и отзыв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осуществляется посредством функционала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подробный порядок определяется Регламентом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0" w:name="_Toc23"/>
      <w:r>
        <w:rPr>
          <w:rFonts w:ascii="Times New Roman" w:hAnsi="Times New Roman" w:eastAsia="Times New Roman" w:cs="Times New Roman"/>
          <w:sz w:val="24"/>
          <w:szCs w:val="24"/>
        </w:rPr>
      </w:r>
      <w:bookmarkStart w:id="111" w:name="_Ref132816188"/>
      <w:r>
        <w:rPr>
          <w:rFonts w:ascii="Times New Roman" w:hAnsi="Times New Roman" w:eastAsia="Times New Roman" w:cs="Times New Roman"/>
          <w:sz w:val="24"/>
          <w:szCs w:val="24"/>
        </w:rPr>
        <w:t xml:space="preserve">Открытие доступа к первым частям заявок</w:t>
      </w:r>
      <w:bookmarkEnd w:id="111"/>
      <w:r>
        <w:rPr>
          <w:rFonts w:ascii="Times New Roman" w:hAnsi="Times New Roman" w:eastAsia="Times New Roman" w:cs="Times New Roman"/>
          <w:sz w:val="24"/>
          <w:szCs w:val="24"/>
        </w:rPr>
      </w:r>
      <w:bookmarkEnd w:id="38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13" w:name="_Hlk149310876"/>
      <w:r>
        <w:rPr>
          <w:rFonts w:ascii="Times New Roman" w:hAnsi="Times New Roman" w:eastAsia="Times New Roman" w:cs="Times New Roman"/>
          <w:sz w:val="24"/>
          <w:szCs w:val="24"/>
        </w:rPr>
      </w:r>
      <w:bookmarkStart w:id="114" w:name="_Hlk149310910"/>
      <w:r>
        <w:rPr>
          <w:rFonts w:ascii="Times New Roman" w:hAnsi="Times New Roman" w:eastAsia="Times New Roman" w:cs="Times New Roman"/>
          <w:sz w:val="24"/>
          <w:szCs w:val="24"/>
        </w:rPr>
        <w:t xml:space="preserve">Оператор ЭП направляет в адрес Организатора первые части заявок в срок не позднее 1 (одного) дня, следующего за днем окончания срока подачи заявок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bookmarkEnd w:id="11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Подробные правила открытия Организатору доступа к первым частям заявок определяются Регламентом ЭП, с использованием которой проводится закупка. При этом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 ЭП обеспечивает конфиденциальность сведений о наименовании Участников, в том числе сведений, указанных в сертификатах ключей электронной подписи, которой подписана заявка, а также обеспечивает конфиденциальность сведений, содержащихся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первых част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заявок, от Участников такой закупки.</w:t>
      </w:r>
      <w:bookmarkEnd w:id="11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1" w:name="_Toc24"/>
      <w:r>
        <w:rPr>
          <w:rFonts w:ascii="Times New Roman" w:hAnsi="Times New Roman" w:eastAsia="Times New Roman" w:cs="Times New Roman"/>
          <w:sz w:val="24"/>
          <w:szCs w:val="24"/>
        </w:rPr>
      </w:r>
      <w:bookmarkStart w:id="115" w:name="_Ref125362364"/>
      <w:r>
        <w:rPr>
          <w:rFonts w:ascii="Times New Roman" w:hAnsi="Times New Roman" w:eastAsia="Times New Roman" w:cs="Times New Roman"/>
          <w:sz w:val="24"/>
          <w:szCs w:val="24"/>
        </w:rPr>
      </w:r>
      <w:bookmarkStart w:id="116" w:name="_Ref125366689"/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первых частей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отборочная стадия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bookmarkEnd w:id="115"/>
      <w:r>
        <w:rPr>
          <w:rFonts w:ascii="Times New Roman" w:hAnsi="Times New Roman" w:eastAsia="Times New Roman" w:cs="Times New Roman"/>
          <w:sz w:val="24"/>
          <w:szCs w:val="24"/>
        </w:rPr>
      </w:r>
      <w:bookmarkEnd w:id="116"/>
      <w:r>
        <w:rPr>
          <w:rFonts w:ascii="Times New Roman" w:hAnsi="Times New Roman" w:eastAsia="Times New Roman" w:cs="Times New Roman"/>
          <w:sz w:val="24"/>
          <w:szCs w:val="24"/>
        </w:rPr>
      </w:r>
      <w:bookmarkEnd w:id="38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окончания срока рассмотрения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первых частей заявок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установлена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Организатор по согласованию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Заказчиком вправе, 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необходимости, изменить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официально разместив информацию об этом.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рамках рассмотрения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первых частей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(отборочной стадии) осуществляется проверка каждой заявки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предмет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О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тборочным критериям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 рассмотрения заявок (Приложение №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7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первых частей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проводится на основании представленных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составе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документов и сведений.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18" w:name="_Ref125551456"/>
      <w:r>
        <w:rPr>
          <w:rFonts w:ascii="Times New Roman" w:hAnsi="Times New Roman" w:eastAsia="Times New Roman" w:cs="Times New Roman"/>
          <w:sz w:val="24"/>
          <w:szCs w:val="24"/>
        </w:rPr>
        <w:t xml:space="preserve">По результатам рассмотрения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первых частей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(проведения отборочной стадии) Закупочная комиссия отклоняет заявки по следующим основаниям:</w:t>
      </w:r>
      <w:bookmarkEnd w:id="11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есоответствие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первой части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составу</w:t>
      </w:r>
      <w:r>
        <w:rPr>
          <w:rStyle w:val="1157"/>
          <w:rFonts w:ascii="Times New Roman" w:hAnsi="Times New Roman" w:eastAsia="Times New Roman" w:cs="Times New Roman"/>
          <w:sz w:val="24"/>
          <w:szCs w:val="24"/>
        </w:rPr>
        <w:footnoteReference w:id="3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содержанию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соблюдению требований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 к подготовке (оформлению)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 том числе наличие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недостоверных сведений или намеренно искаженной информации или документов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внутренних противоречий между различными частями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первой части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заявки,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том числе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тексту внутри одного документа;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несоответствие предлагаемой продукции требованиям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закупке, в том числе порядка описания такой продукции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(включая требования по предоставлению информации и перечня документов, которые подтверждают страну происхождения товара – для случаев запрета или ограничения, установленных законодательством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национальном режиме)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несоответствие предлагаемых договорных условий требованиям Документации о закупке;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наличие в документах первой части заявки сведений об Участники и (или) о его ценовом предложении.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Решение Закупочной комиссии по рассмотрению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первых частей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оформляется протоколом, в котором, как минимум, указываются</w:t>
      </w:r>
      <w:r>
        <w:rPr>
          <w:rStyle w:val="1157"/>
          <w:rFonts w:ascii="Times New Roman" w:hAnsi="Times New Roman" w:eastAsia="Times New Roman" w:cs="Times New Roman"/>
          <w:sz w:val="24"/>
          <w:szCs w:val="24"/>
        </w:rPr>
        <w:footnoteReference w:id="4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подписания протокола;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идентификационные номера, присваиваемые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результаты рассмотрения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первых частей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указанием, в том числе: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количества заявок, которые были отклонены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 результатам рассмотрения первых частей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оснований отклонения каждой заявки с указанием положений Документации о закупке, которым не соответствует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первая часть такой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причины, по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которым закупка признана несостоявшейся в 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_Ref125364149 \w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4.16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(в случае ее признания таковой)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ротокол рассмотрения первых частей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направляется Организатором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ператору ЭП не позднее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календарных дней с даты подписания такого протокола, после чего он официально размещается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_Ref130286532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 в течение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(одного) часа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момента его получения от Организатора.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2" w:name="_Toc25"/>
      <w:r>
        <w:rPr>
          <w:rFonts w:ascii="Times New Roman" w:hAnsi="Times New Roman" w:eastAsia="Times New Roman" w:cs="Times New Roman"/>
          <w:sz w:val="24"/>
          <w:szCs w:val="24"/>
        </w:rPr>
      </w:r>
      <w:bookmarkStart w:id="119" w:name="_Ref132801184"/>
      <w:r>
        <w:rPr>
          <w:rFonts w:ascii="Times New Roman" w:hAnsi="Times New Roman" w:eastAsia="Times New Roman" w:cs="Times New Roman"/>
          <w:sz w:val="24"/>
          <w:szCs w:val="24"/>
        </w:rPr>
        <w:t xml:space="preserve">Открытие доступа ко вторым частям заявок и ценовым предложениям</w:t>
      </w:r>
      <w:bookmarkEnd w:id="119"/>
      <w:r>
        <w:rPr>
          <w:rFonts w:ascii="Times New Roman" w:hAnsi="Times New Roman" w:eastAsia="Times New Roman" w:cs="Times New Roman"/>
          <w:sz w:val="24"/>
          <w:szCs w:val="24"/>
        </w:rPr>
      </w:r>
      <w:bookmarkEnd w:id="382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Оператор ЭП направляет в адрес Организатора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вторые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части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ценовые предложения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срок,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установленный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Подробные правила открытия Организатору доступа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вторым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частям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ценовым предложениям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определяются Регламентом ЭП, с использованием которой проводится закупка. Оператор ЭП обеспечивает конфиденциальность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сведений содержащихся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 вторых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ценовых предложениях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Участников такой 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3" w:name="_Toc26"/>
      <w:r>
        <w:rPr>
          <w:rFonts w:ascii="Times New Roman" w:hAnsi="Times New Roman" w:eastAsia="Times New Roman" w:cs="Times New Roman"/>
          <w:sz w:val="24"/>
          <w:szCs w:val="24"/>
        </w:rPr>
      </w:r>
      <w:bookmarkStart w:id="121" w:name="_Ref132797154"/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Рассмотрение вторых частей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(отборочная стадия)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 том числе (при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необходимости) проведение аккредитации,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ценовых предложений</w:t>
      </w:r>
      <w:bookmarkEnd w:id="121"/>
      <w:r>
        <w:rPr>
          <w:rFonts w:ascii="Times New Roman" w:hAnsi="Times New Roman" w:eastAsia="Times New Roman" w:cs="Times New Roman"/>
          <w:sz w:val="24"/>
          <w:szCs w:val="24"/>
        </w:rPr>
      </w:r>
      <w:bookmarkEnd w:id="38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окончания срока рассмотрения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частей заявок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 ценовых предложений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установлена 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Организатор по согласованию с Заказчиком вправе, при необходимости, изменить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официально разместив информацию об этом.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рамках рассмотрения вторых частей заявок и ценового предложения (отборочной стадии) осуществляется проверка каждой заявки, не отклоненной по результатам рассмотрения первых частей заявок,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предмет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Отборочным критериям рассмотрения заявок (Приложение № 7)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том числе проводится процедура аккредитации Участников (при необходимости)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частей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 ценового предложения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проводится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основании представленных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составе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документов и сведений. Проверка актуальности и достоверности предоставленных документов и сведений осуществляется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использованием официальных сервисов органов государственной власти, или иным законным способом.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выявлении в рамках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ценовых предложений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наличия арифметических ошибок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 том числе: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результате суммирования единичных расценок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итог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умножения единичных расценок на объем продукции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вычислени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суммы НДС и итоговой стоимости заявки с учетом НДС)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иных внутренних противоречий в составе заявк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исходит из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преимущества общей итоговой стоимости (без учета НДС), указанной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структурированных формах на ЭП (последней по времени подачи) и подписанной усиленной квалифицированной электронной подписью уполномоченного лица Участника.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уклонении Участника от заключения договора на вышеуказанных условиях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заявка такого Участника подлежит отклонению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решением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Закупочной комиссии.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23" w:name="_Ref132793926"/>
      <w:r>
        <w:rPr>
          <w:rFonts w:ascii="Times New Roman" w:hAnsi="Times New Roman" w:eastAsia="Times New Roman" w:cs="Times New Roman"/>
          <w:sz w:val="24"/>
          <w:szCs w:val="24"/>
        </w:rPr>
        <w:t xml:space="preserve">По результатам рассмотрения вторых частей заявок и ценовых предложений (проведения отборочной стадии) Закупочная комиссия отклоняет заявки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следующим основаниям:</w:t>
      </w:r>
      <w:bookmarkEnd w:id="12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несоответствие второй части заявки и (или) ценового предложения по составу</w:t>
      </w:r>
      <w:r>
        <w:rPr>
          <w:rStyle w:val="1157"/>
          <w:rFonts w:ascii="Times New Roman" w:hAnsi="Times New Roman" w:eastAsia="Times New Roman" w:cs="Times New Roman"/>
          <w:sz w:val="24"/>
          <w:szCs w:val="24"/>
        </w:rPr>
        <w:footnoteReference w:id="5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содержанию и соблюдению требований Документации о закупке к подготовке (оформлению) заявки, в том числе наличие: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недостоверных сведений</w:t>
      </w:r>
      <w:r>
        <w:rPr>
          <w:rStyle w:val="1157"/>
          <w:rFonts w:ascii="Times New Roman" w:hAnsi="Times New Roman" w:eastAsia="Times New Roman" w:cs="Times New Roman"/>
          <w:sz w:val="24"/>
          <w:szCs w:val="24"/>
        </w:rPr>
        <w:footnoteReference w:id="6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или намеренно искаженной информации или документов;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внутренних противоречий между различными частями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документами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второй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части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 (или)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ценового предложения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 том числе по тексту внутри одного документа;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противоречий между документами заявки и сведениями, указанными Участником в структурированных формах на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несоответствие предлагаемой продукции требованиям Документации о закупке,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учетом представленных во второй части заявки соответствующих подтверждающих документов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несоответствие Участников требованиям Документации о закупке;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несоответствие привлекаемых субподрядчиков (соисполнителей) требованиям Документации о закупке;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превышение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ценового предложения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ым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размер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НМЦ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Решение Закупочной комиссии по рассмотрению вторых частей заявок и ценового предложения оформляется протоколом, в котором, как минимум, указываются</w:t>
      </w:r>
      <w:r>
        <w:rPr>
          <w:rStyle w:val="1157"/>
          <w:rFonts w:ascii="Times New Roman" w:hAnsi="Times New Roman" w:eastAsia="Times New Roman" w:cs="Times New Roman"/>
          <w:sz w:val="24"/>
          <w:szCs w:val="24"/>
        </w:rPr>
        <w:footnoteReference w:id="7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подписания протокола;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заявок), с указанием ценового предложения такой заявки;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наименования Участников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заявки которых не были отклонены по результатам рассмотрения первых частей заявок,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(или) их идентификационные номера, присваиваемые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результаты рассмотрения вторых частей заявок и ценовых предложений с указанием, в том числе: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количества заявок, которые были отклонены по результатам рассмотрения вторых частей заявок и ценовых предложений;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оснований отклонения каждой заявки с указанием положений Документации о закупке, которым не соответствует вторая часть такой заявка и (или) ценовое предложение;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причины, по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которым закупка признана несостоявшейся в соответствии с подразделом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_Ref125364149 \w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4.16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(в случае ее признания таковой)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ротокол рассмотрения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частей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 (или)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ценовых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предложений направляется Организатором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ператору ЭП не позднее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календарных дней с даты подписания такого протокола, после чего он официально размещается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_Ref130286532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 в течение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(одного) часа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момента его получения от Организатора.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4" w:name="_Toc27"/>
      <w:r>
        <w:rPr>
          <w:rFonts w:ascii="Times New Roman" w:hAnsi="Times New Roman" w:eastAsia="Times New Roman" w:cs="Times New Roman"/>
          <w:sz w:val="24"/>
          <w:szCs w:val="24"/>
        </w:rPr>
      </w:r>
      <w:bookmarkStart w:id="124" w:name="_Ref125362381"/>
      <w:r>
        <w:rPr>
          <w:rFonts w:ascii="Times New Roman" w:hAnsi="Times New Roman" w:eastAsia="Times New Roman" w:cs="Times New Roman"/>
          <w:sz w:val="24"/>
          <w:szCs w:val="24"/>
        </w:rPr>
      </w:r>
      <w:bookmarkStart w:id="125" w:name="_Ref125362425"/>
      <w:r>
        <w:rPr>
          <w:rFonts w:ascii="Times New Roman" w:hAnsi="Times New Roman" w:eastAsia="Times New Roman" w:cs="Times New Roman"/>
          <w:sz w:val="24"/>
          <w:szCs w:val="24"/>
        </w:rPr>
      </w:r>
      <w:bookmarkStart w:id="126" w:name="_Ref125362464"/>
      <w:r>
        <w:rPr>
          <w:rFonts w:ascii="Times New Roman" w:hAnsi="Times New Roman" w:eastAsia="Times New Roman" w:cs="Times New Roman"/>
          <w:sz w:val="24"/>
          <w:szCs w:val="24"/>
        </w:rPr>
      </w:r>
      <w:bookmarkStart w:id="127" w:name="_Ref125362610"/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Дополнительные запросы разъяснений заявок</w:t>
      </w:r>
      <w:bookmarkEnd w:id="124"/>
      <w:r>
        <w:rPr>
          <w:rFonts w:ascii="Times New Roman" w:hAnsi="Times New Roman" w:eastAsia="Times New Roman" w:cs="Times New Roman"/>
          <w:sz w:val="24"/>
          <w:szCs w:val="24"/>
        </w:rPr>
      </w:r>
      <w:bookmarkEnd w:id="125"/>
      <w:r>
        <w:rPr>
          <w:rFonts w:ascii="Times New Roman" w:hAnsi="Times New Roman" w:eastAsia="Times New Roman" w:cs="Times New Roman"/>
          <w:sz w:val="24"/>
          <w:szCs w:val="24"/>
        </w:rPr>
      </w:r>
      <w:bookmarkEnd w:id="126"/>
      <w:r>
        <w:rPr>
          <w:rFonts w:ascii="Times New Roman" w:hAnsi="Times New Roman" w:eastAsia="Times New Roman" w:cs="Times New Roman"/>
          <w:sz w:val="24"/>
          <w:szCs w:val="24"/>
        </w:rPr>
      </w:r>
      <w:bookmarkEnd w:id="127"/>
      <w:r>
        <w:rPr>
          <w:rFonts w:ascii="Times New Roman" w:hAnsi="Times New Roman" w:eastAsia="Times New Roman" w:cs="Times New Roman"/>
          <w:sz w:val="24"/>
          <w:szCs w:val="24"/>
        </w:rPr>
      </w:r>
      <w:bookmarkEnd w:id="38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29" w:name="_Ref125365611"/>
      <w:r>
        <w:rPr>
          <w:rFonts w:ascii="Times New Roman" w:hAnsi="Times New Roman" w:eastAsia="Times New Roman" w:cs="Times New Roman"/>
          <w:sz w:val="24"/>
          <w:szCs w:val="24"/>
        </w:rPr>
        <w:t xml:space="preserve">В рамках процедуры рассмотрения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(первых частей заявок, вторых частей заявок и ценовых предложений)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оценки и сопоставления заявок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вправе направить в адрес Участника дополнительный запрос разъяснений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дополнений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его заявки,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влияющих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отклонение или оценку и сопоставление его заявки, в следующих случаях:</w:t>
      </w:r>
      <w:bookmarkEnd w:id="12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составе заявки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(в какой-либо ее части)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отсутствуют, представлены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полном объеме или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нечитаемом виде документы или сведения, необходимые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определения: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соответствия Участника требованиям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30" w:name="_Hlk132793683"/>
      <w:r>
        <w:rPr>
          <w:rFonts w:ascii="Times New Roman" w:hAnsi="Times New Roman" w:eastAsia="Times New Roman" w:cs="Times New Roman"/>
          <w:sz w:val="24"/>
          <w:szCs w:val="24"/>
        </w:rPr>
        <w:t xml:space="preserve">наличия соответствующих полномочий на подписани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заявки от имени Участника у лица, подписавшего заявку</w:t>
      </w:r>
      <w:bookmarkEnd w:id="130"/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соответствия заявки требованиям Документации о закупке в части характеристик предлагаемой продукции и договорных условий, расчета цены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31" w:name="_Ref135033677"/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составе заявки (в какой-либо ее части) отсутствуют, представлены не в полном объеме или в нечитаемом виде документы или сведения, необходимые для прохождения Участником в рамках рассмотрения вторых частей заявок процедуры аккредитации (при необходимости);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заявке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(в какой-либо ее части)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имеются разночтения или положения, допускающие неоднозначное толкование, не позволяющие определить соответствие заявки или Участника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том числе не позволяющие провести в отношении него процедуру аккредитации (при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необходимости)</w:t>
      </w:r>
      <w:r>
        <w:rPr>
          <w:rStyle w:val="1157"/>
          <w:rFonts w:ascii="Times New Roman" w:hAnsi="Times New Roman" w:eastAsia="Times New Roman" w:cs="Times New Roman"/>
          <w:sz w:val="24"/>
          <w:szCs w:val="24"/>
        </w:rPr>
        <w:footnoteReference w:id="8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требованиям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 или осуществить оценку и сопоставление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bookmarkEnd w:id="13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в рамках рассмотрения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(вторых частей заявок и ценовых предложений)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проводится процедура аккредитации, Организатор вправе направить в адрес Участника дополнительный запрос разъяснений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(или) дополнени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его заявки,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влияющи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прохождени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аккредитации таким Участником (в том числе в случае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указанном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подпункт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 _Ref135033677 \d ( \h \r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4.12.1(б)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 допускаются запросы со стороны Организатора, а также ответы со стороны Участников, изменяющие суть заявки (предмет, объем, цена, номенклатура предлагаемой Участником продукции).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направлении дополнительных запросов разъяснений заявок не допускается создание преимущественных условий Участнику или нескольким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Участникам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Дополнительные запросы направляются одновременно (в один день) всем Участникам, у которых был выявлен факт несоответствий, за исключением следующего – дополнительные запросы не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направляются Участнику если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пункт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ами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_Ref125551456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4.9.4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_Ref132793926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4.11.5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имеются прямые основания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отклонения заявки такого Участника, не относящ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иеся к случаям, перечисленным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пункте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_Ref125365611 \w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4.12.1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Срок предоставления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Участниками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разъяснений своих заявок устанавливается одинаковый для всех и составляет не менее 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(двух) рабочих дней с момента направления запроса в адрес Участника.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Направление Организатором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запросов и ответов Участников на данные запросы осуществляется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помощью программных и технических средств ЭП в порядке, предусмотренном Регламентом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тветы Участников, поступившие не через ЭП, к рассмотрению не принимаются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Непредставление или представление не в полном объеме запрашиваемых документов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разъяснений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установленный в запросе срок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служит основанием для отклонения заявки такого Участника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условиям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пункт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_Ref125551456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4.9.4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_Ref132793926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4.11.5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5" w:name="_Toc28"/>
      <w:r>
        <w:rPr>
          <w:rFonts w:ascii="Times New Roman" w:hAnsi="Times New Roman" w:eastAsia="Times New Roman" w:cs="Times New Roman"/>
          <w:sz w:val="24"/>
          <w:szCs w:val="24"/>
        </w:rPr>
      </w:r>
      <w:bookmarkStart w:id="132" w:name="_Ref125362626"/>
      <w:r>
        <w:rPr>
          <w:rFonts w:ascii="Times New Roman" w:hAnsi="Times New Roman" w:eastAsia="Times New Roman" w:cs="Times New Roman"/>
          <w:sz w:val="24"/>
          <w:szCs w:val="24"/>
        </w:rPr>
      </w:r>
      <w:bookmarkStart w:id="133" w:name="_Ref125365335"/>
      <w:r>
        <w:rPr>
          <w:rFonts w:ascii="Times New Roman" w:hAnsi="Times New Roman" w:eastAsia="Times New Roman" w:cs="Times New Roman"/>
          <w:sz w:val="24"/>
          <w:szCs w:val="24"/>
        </w:rPr>
      </w:r>
      <w:bookmarkStart w:id="134" w:name="_Ref125365519"/>
      <w:r>
        <w:rPr>
          <w:rFonts w:ascii="Times New Roman" w:hAnsi="Times New Roman" w:eastAsia="Times New Roman" w:cs="Times New Roman"/>
          <w:sz w:val="24"/>
          <w:szCs w:val="24"/>
        </w:rPr>
      </w:r>
      <w:bookmarkStart w:id="135" w:name="_Ref125366534"/>
      <w:r>
        <w:rPr>
          <w:rFonts w:ascii="Times New Roman" w:hAnsi="Times New Roman" w:eastAsia="Times New Roman" w:cs="Times New Roman"/>
          <w:sz w:val="24"/>
          <w:szCs w:val="24"/>
        </w:rPr>
      </w:r>
      <w:bookmarkStart w:id="136" w:name="_Ref125369041"/>
      <w:r>
        <w:rPr>
          <w:rFonts w:ascii="Times New Roman" w:hAnsi="Times New Roman" w:eastAsia="Times New Roman" w:cs="Times New Roman"/>
          <w:sz w:val="24"/>
          <w:szCs w:val="24"/>
        </w:rPr>
      </w:r>
      <w:bookmarkStart w:id="137" w:name="_Ref125369308"/>
      <w:r>
        <w:rPr>
          <w:rFonts w:ascii="Times New Roman" w:hAnsi="Times New Roman" w:eastAsia="Times New Roman" w:cs="Times New Roman"/>
          <w:sz w:val="24"/>
          <w:szCs w:val="24"/>
        </w:rPr>
        <w:t xml:space="preserve">Оценка и сопоставление заявок</w:t>
      </w:r>
      <w:bookmarkEnd w:id="132"/>
      <w:r>
        <w:rPr>
          <w:rFonts w:ascii="Times New Roman" w:hAnsi="Times New Roman" w:eastAsia="Times New Roman" w:cs="Times New Roman"/>
          <w:sz w:val="24"/>
          <w:szCs w:val="24"/>
        </w:rPr>
      </w:r>
      <w:bookmarkEnd w:id="133"/>
      <w:r>
        <w:rPr>
          <w:rFonts w:ascii="Times New Roman" w:hAnsi="Times New Roman" w:eastAsia="Times New Roman" w:cs="Times New Roman"/>
          <w:sz w:val="24"/>
          <w:szCs w:val="24"/>
        </w:rPr>
      </w:r>
      <w:bookmarkEnd w:id="134"/>
      <w:r>
        <w:rPr>
          <w:rFonts w:ascii="Times New Roman" w:hAnsi="Times New Roman" w:eastAsia="Times New Roman" w:cs="Times New Roman"/>
          <w:sz w:val="24"/>
          <w:szCs w:val="24"/>
        </w:rPr>
      </w:r>
      <w:bookmarkEnd w:id="135"/>
      <w:r>
        <w:rPr>
          <w:rFonts w:ascii="Times New Roman" w:hAnsi="Times New Roman" w:eastAsia="Times New Roman" w:cs="Times New Roman"/>
          <w:sz w:val="24"/>
          <w:szCs w:val="24"/>
        </w:rPr>
      </w:r>
      <w:bookmarkEnd w:id="136"/>
      <w:r>
        <w:rPr>
          <w:rFonts w:ascii="Times New Roman" w:hAnsi="Times New Roman" w:eastAsia="Times New Roman" w:cs="Times New Roman"/>
          <w:sz w:val="24"/>
          <w:szCs w:val="24"/>
        </w:rPr>
      </w:r>
      <w:bookmarkEnd w:id="137"/>
      <w:r>
        <w:rPr>
          <w:rFonts w:ascii="Times New Roman" w:hAnsi="Times New Roman" w:eastAsia="Times New Roman" w:cs="Times New Roman"/>
          <w:sz w:val="24"/>
          <w:szCs w:val="24"/>
        </w:rPr>
      </w:r>
      <w:bookmarkEnd w:id="385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Оценка и сопоставление заявок, признанных Закупочной комиссией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соответствующими по результатам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рассмотрения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(первых частей заявок, вторых частей заявок и ценовых предложений)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осуществляется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соответствии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</w:t>
      </w:r>
      <w:hyperlink w:tooltip="#Прил08_ПорядокОценки" w:anchor="Прил08_ПорядокОценк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Порядком и критериями оценки и сопоставления заявок (Приложение №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8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присвоением каждой заявке итогового балла.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результатам оценки заявок Закупочная комиссия в течение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(одного) рабочего дня осуществляет их сопоставление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ранжирует по степени их предпочтительности на основании полученного итогового балла (по мере уменьшения)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При этом первое место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ранжировке присваивается заявке, получившей по результатам оценки наибольший итоговый балл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если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нескольких заявках содержатся одинаковые условия (заявкам присвоен одинаковый итоговый балл), меньший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порядковый номер (более высокое место в ранжировке) присваивается заявке, которая поступила ранее других заявок, на основании информации о поступлении заявок, отражаемой на ЭП (по дате и времени последнего изменения заявки до окончания срока подачи заявок)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Оценка и сопоставление заявок проводится только на основании представленных в составе заявки документов и сведений. Применение иного порядка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критериев оценки и сопоставления заявок, кроме предусмотренных Документацией о закупке, не допускается.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39" w:name="_Ref125366064"/>
      <w:r>
        <w:rPr>
          <w:rFonts w:ascii="Times New Roman" w:hAnsi="Times New Roman" w:eastAsia="Times New Roman" w:cs="Times New Roman"/>
          <w:sz w:val="24"/>
          <w:szCs w:val="24"/>
        </w:rPr>
      </w:r>
      <w:bookmarkStart w:id="140" w:name="_Ref125369991"/>
      <w:r>
        <w:rPr>
          <w:rFonts w:ascii="Times New Roman" w:hAnsi="Times New Roman" w:eastAsia="Times New Roman" w:cs="Times New Roman"/>
          <w:sz w:val="24"/>
          <w:szCs w:val="24"/>
        </w:rPr>
      </w:r>
      <w:bookmarkStart w:id="141" w:name="_Ref125370507"/>
      <w:r>
        <w:rPr>
          <w:rFonts w:ascii="Times New Roman" w:hAnsi="Times New Roman" w:eastAsia="Times New Roman" w:cs="Times New Roman"/>
          <w:sz w:val="24"/>
          <w:szCs w:val="24"/>
        </w:rPr>
      </w:r>
      <w:bookmarkStart w:id="142" w:name="_Ref130458671"/>
      <w:r>
        <w:rPr>
          <w:rFonts w:ascii="Times New Roman" w:hAnsi="Times New Roman" w:eastAsia="Times New Roman" w:cs="Times New Roman"/>
          <w:sz w:val="24"/>
          <w:szCs w:val="24"/>
        </w:rPr>
        <w:t xml:space="preserve">Оценка и сопоставление заявок,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 также их ранжировка, осуществляется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учетом применения законодательства о национальном режиме, в т.ч. ПП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1875 (подраздел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_Ref132816300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43" w:name="_Ref130985951"/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Результаты оценки и сопоставления заявок указываются в итоговом протоколе по результатам 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6" w:name="_Toc29"/>
      <w:r>
        <w:rPr>
          <w:rFonts w:ascii="Times New Roman" w:hAnsi="Times New Roman" w:eastAsia="Times New Roman" w:cs="Times New Roman"/>
          <w:sz w:val="24"/>
          <w:szCs w:val="24"/>
        </w:rPr>
      </w:r>
      <w:bookmarkStart w:id="144" w:name="_Ref186219943"/>
      <w:r>
        <w:rPr>
          <w:rFonts w:ascii="Times New Roman" w:hAnsi="Times New Roman" w:eastAsia="Times New Roman" w:cs="Times New Roman"/>
          <w:sz w:val="24"/>
          <w:szCs w:val="24"/>
        </w:rPr>
      </w:r>
      <w:bookmarkStart w:id="145" w:name="_Ref132816300"/>
      <w:r>
        <w:rPr>
          <w:rFonts w:ascii="Times New Roman" w:hAnsi="Times New Roman" w:eastAsia="Times New Roman" w:cs="Times New Roman"/>
          <w:sz w:val="24"/>
          <w:szCs w:val="24"/>
        </w:rPr>
        <w:t xml:space="preserve">Применение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законодательства о национальном режиме</w:t>
      </w:r>
      <w:bookmarkEnd w:id="139"/>
      <w:r>
        <w:rPr>
          <w:rFonts w:ascii="Times New Roman" w:hAnsi="Times New Roman" w:eastAsia="Times New Roman" w:cs="Times New Roman"/>
          <w:sz w:val="24"/>
          <w:szCs w:val="24"/>
        </w:rPr>
      </w:r>
      <w:bookmarkEnd w:id="140"/>
      <w:r>
        <w:rPr>
          <w:rFonts w:ascii="Times New Roman" w:hAnsi="Times New Roman" w:eastAsia="Times New Roman" w:cs="Times New Roman"/>
          <w:sz w:val="24"/>
          <w:szCs w:val="24"/>
        </w:rPr>
      </w:r>
      <w:bookmarkEnd w:id="141"/>
      <w:r>
        <w:rPr>
          <w:rFonts w:ascii="Times New Roman" w:hAnsi="Times New Roman" w:eastAsia="Times New Roman" w:cs="Times New Roman"/>
          <w:sz w:val="24"/>
          <w:szCs w:val="24"/>
        </w:rPr>
      </w:r>
      <w:bookmarkEnd w:id="142"/>
      <w:r>
        <w:rPr>
          <w:rFonts w:ascii="Times New Roman" w:hAnsi="Times New Roman" w:eastAsia="Times New Roman" w:cs="Times New Roman"/>
          <w:sz w:val="24"/>
          <w:szCs w:val="24"/>
        </w:rPr>
      </w:r>
      <w:bookmarkEnd w:id="143"/>
      <w:r>
        <w:rPr>
          <w:rFonts w:ascii="Times New Roman" w:hAnsi="Times New Roman" w:eastAsia="Times New Roman" w:cs="Times New Roman"/>
          <w:sz w:val="24"/>
          <w:szCs w:val="24"/>
        </w:rPr>
      </w:r>
      <w:bookmarkEnd w:id="144"/>
      <w:r>
        <w:rPr>
          <w:rFonts w:ascii="Times New Roman" w:hAnsi="Times New Roman" w:eastAsia="Times New Roman" w:cs="Times New Roman"/>
          <w:sz w:val="24"/>
          <w:szCs w:val="24"/>
        </w:rPr>
      </w:r>
      <w:bookmarkEnd w:id="145"/>
      <w:r>
        <w:rPr>
          <w:rFonts w:ascii="Times New Roman" w:hAnsi="Times New Roman" w:eastAsia="Times New Roman" w:cs="Times New Roman"/>
          <w:sz w:val="24"/>
          <w:szCs w:val="24"/>
        </w:rPr>
      </w:r>
      <w:bookmarkEnd w:id="386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Настоящий подраздел применяется исходя из информации, установленной в 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установлен режим запрета закупки иностранной продукции, то не доп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ускается заключение договора на поставку такой продукции (на поставку товара иностранного происхождения / на оказание услуг иностранным лицом / на выполнение работ иностранным лицом) – соответствующая заявка отклоняется при рассмотрении заявок (подразделы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_Ref125362364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4.9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_Ref132797154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установлен режим ограничения закупки иностранной продукции, то не допускается заключение договора на поставку такой продукции, если была подана и по результатам 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ассмотрения заявок допущена заявка с российской продукцией (на поставку товара российского происхождения / на оказание услуг российским лицом / на выполнение работ российским лицом), – соответствующая заявка отклоняется при рассмотрении заявок (подразделы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_Ref125362364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4.9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_Ref132797154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установлен режим преимущества российской продукции, то при оценке и сопоставлении заявок, а также их ранжировке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_Ref130455226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4.19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осуществляется снижение</w:t>
      </w:r>
      <w:r>
        <w:rPr>
          <w:rStyle w:val="1157"/>
          <w:rFonts w:ascii="Times New Roman" w:hAnsi="Times New Roman" w:eastAsia="Times New Roman" w:cs="Times New Roman"/>
          <w:sz w:val="24"/>
          <w:szCs w:val="24"/>
        </w:rPr>
        <w:footnoteReference w:id="9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 15% (пятнадцать процентов) итоговой стоимости заявки (цены Договора), поданной и допущенной заявки с российской продукцией (на поставку товара российского происхождения / на оказание услуг российским лицом / на выполнение работ российским лицом).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Состав и требования к информации и перечню документов, которые подтверждают страну происхождения товара в целях предоставления национального режима, установлены в </w:t>
      </w:r>
      <w:hyperlink w:tooltip="#Прил01_ТехТребования" w:anchor="Прил01_ТехТребования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Технических требованиях (Приложение № 1)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7" w:name="_Toc30"/>
      <w:r>
        <w:rPr>
          <w:rFonts w:ascii="Times New Roman" w:hAnsi="Times New Roman" w:eastAsia="Times New Roman" w:cs="Times New Roman"/>
          <w:sz w:val="24"/>
          <w:szCs w:val="24"/>
        </w:rPr>
      </w:r>
      <w:bookmarkStart w:id="153" w:name="_Ref125362658"/>
      <w:r>
        <w:rPr>
          <w:rFonts w:ascii="Times New Roman" w:hAnsi="Times New Roman" w:eastAsia="Times New Roman" w:cs="Times New Roman"/>
          <w:sz w:val="24"/>
          <w:szCs w:val="24"/>
        </w:rPr>
      </w:r>
      <w:bookmarkStart w:id="154" w:name="_Ref125366091"/>
      <w:r>
        <w:rPr>
          <w:rFonts w:ascii="Times New Roman" w:hAnsi="Times New Roman" w:eastAsia="Times New Roman" w:cs="Times New Roman"/>
          <w:sz w:val="24"/>
          <w:szCs w:val="24"/>
        </w:rPr>
      </w:r>
      <w:bookmarkStart w:id="155" w:name="_Ref125367242"/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одведение итогов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пределение Победителя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bookmarkEnd w:id="153"/>
      <w:r>
        <w:rPr>
          <w:rFonts w:ascii="Times New Roman" w:hAnsi="Times New Roman" w:eastAsia="Times New Roman" w:cs="Times New Roman"/>
          <w:sz w:val="24"/>
          <w:szCs w:val="24"/>
        </w:rPr>
      </w:r>
      <w:bookmarkEnd w:id="154"/>
      <w:r>
        <w:rPr>
          <w:rFonts w:ascii="Times New Roman" w:hAnsi="Times New Roman" w:eastAsia="Times New Roman" w:cs="Times New Roman"/>
          <w:sz w:val="24"/>
          <w:szCs w:val="24"/>
        </w:rPr>
      </w:r>
      <w:bookmarkEnd w:id="155"/>
      <w:r>
        <w:rPr>
          <w:rFonts w:ascii="Times New Roman" w:hAnsi="Times New Roman" w:eastAsia="Times New Roman" w:cs="Times New Roman"/>
          <w:sz w:val="24"/>
          <w:szCs w:val="24"/>
        </w:rPr>
      </w:r>
      <w:bookmarkEnd w:id="387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окончания срока подведения итогов закупки указана 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Организатор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согласованию с Заказчиком вправе, при необходимости, изменить данный срок, официально разместив информацию об этом.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 основании полученных результатов оценки и сопоставления заявок Организатор подводит итоги закупки.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Победителем закупки признается Участник, заявка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которого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заняла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(первое) место в ранжировке заявок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итогам рассмотрения, оценки и сопоставления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к моменту подведения итогов закупки с выбором в качестве Победителя ранее аккредитованного Участника прошло более 6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(шести) календарных месяцев с даты присвоения ему статуса «аккредитован»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/ «аккредитация не требуется»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перед окончательным определением Победителя проводится процедура актуализации статуса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аккредитации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данного Участника. Если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результатам такой проверки Участник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присвоен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статус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аккредитован», его заявка отклоняется, 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Закупочная комиссия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имеет право выбрать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качестве Победителя иного Участника, занявшего следующее после него место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ранжировке заявок, из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числа остальных действующих заявок (при наличии 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него актуального статуса аккредитации).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57" w:name="_Ref125365974"/>
      <w:r>
        <w:rPr>
          <w:rFonts w:ascii="Times New Roman" w:hAnsi="Times New Roman" w:eastAsia="Times New Roman" w:cs="Times New Roman"/>
          <w:sz w:val="24"/>
          <w:szCs w:val="24"/>
        </w:rPr>
        <w:t xml:space="preserve">Решение Закупочной комиссии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определению Победителя оформляется итоговым протоколом по результатам закупки, в котором, как минимум, указываются</w:t>
      </w:r>
      <w:r>
        <w:rPr>
          <w:rStyle w:val="1157"/>
          <w:rFonts w:ascii="Times New Roman" w:hAnsi="Times New Roman" w:eastAsia="Times New Roman" w:cs="Times New Roman"/>
          <w:sz w:val="24"/>
          <w:szCs w:val="24"/>
        </w:rPr>
        <w:footnoteReference w:id="10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bookmarkEnd w:id="157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подписания протокола;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наименования Участников,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заявки которых были допущены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результатам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вторых частей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ценовых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предложений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их идентификационные номера, присваиваемые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ЭП;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результаты рассмотрения заявок с указанием, в том числе: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количества заявок, которые были отклонены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(отдельно по результатам рассмотрения первых частей заявок, по результатам рассмотрения вторых частей заявок и ценовых предложений)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оснований отклонения каждой заявки с указанием положений Документации о закупке, которым не соответствует такая заявка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результаты дополнительного рассмотрения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(при возникновении оснований для отклонения заявок по результатам проведения актуализации статуса аккредитации, если так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процедур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проводились)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указанием, в том числе: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количества заявок, которые были отклонены;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результаты оценки и сопоставления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том числе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значения (в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баллах), присвоенного каждой заявке по каждому из предусмотренных критериев оценки, установленных в 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порядковые номера каждой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(с указанием стоимостей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(цен Договоров)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 отклоненной по результатам рассмотрения вторых частей заявок и ценовых предложений,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том числе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учетом результатов актуализации статуса аккредитации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(если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процедур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проводил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сь)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ранжировке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наименование Победителя закупки или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динственного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частника несостоявшейся закупки, с которым планируется заключить Договор;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причины, по которым закупка признана несостоявшейся (в случае ее признания таковой),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после чего Организатор официально размещает его в течение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календарных дней с даты подписания такого протокола.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Победитель дополнительно уведомляется о результатах проводимой закупки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использованием ЭП – уведомление направляется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 согласно Регламенту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между официальным размещением итогового протокола по результатам закупки и подписанием Договора изменится Победитель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например, вследствие уклонения Победителя или потери им статуса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информация о новом Победителе официально размещается Организатором в том же порядке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Любой Участник после официального размещения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итогового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протокола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 результатам закупки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вправе направить Организатору запрос о разъяснении результатов рассмотрения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(или) оценки и сопоставления своей заявки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порядке, аналогичном порядку направления запросов на разъяснение Документации о закупке (подраздел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_Ref130394205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 Организатор в течение 10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(десяти) рабочих дней со дня поступления такого запроса обязан предоставить такому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Участнику соответствующие разъяснения. При этом в отношении иных Участников разъяснения не предоставляются.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8" w:name="_Toc31"/>
      <w:r>
        <w:rPr>
          <w:rFonts w:ascii="Times New Roman" w:hAnsi="Times New Roman" w:eastAsia="Times New Roman" w:cs="Times New Roman"/>
          <w:sz w:val="24"/>
          <w:szCs w:val="24"/>
        </w:rPr>
      </w:r>
      <w:bookmarkStart w:id="158" w:name="_Ref125364149"/>
      <w:r>
        <w:rPr>
          <w:rFonts w:ascii="Times New Roman" w:hAnsi="Times New Roman" w:eastAsia="Times New Roman" w:cs="Times New Roman"/>
          <w:sz w:val="24"/>
          <w:szCs w:val="24"/>
        </w:rPr>
      </w:r>
      <w:bookmarkStart w:id="159" w:name="_Ref125364187"/>
      <w:r>
        <w:rPr>
          <w:rFonts w:ascii="Times New Roman" w:hAnsi="Times New Roman" w:eastAsia="Times New Roman" w:cs="Times New Roman"/>
          <w:sz w:val="24"/>
          <w:szCs w:val="24"/>
        </w:rPr>
      </w:r>
      <w:bookmarkStart w:id="160" w:name="_Ref125365305"/>
      <w:r>
        <w:rPr>
          <w:rFonts w:ascii="Times New Roman" w:hAnsi="Times New Roman" w:eastAsia="Times New Roman" w:cs="Times New Roman"/>
          <w:sz w:val="24"/>
          <w:szCs w:val="24"/>
        </w:rPr>
      </w:r>
      <w:bookmarkStart w:id="161" w:name="_Ref125365570"/>
      <w:r>
        <w:rPr>
          <w:rFonts w:ascii="Times New Roman" w:hAnsi="Times New Roman" w:eastAsia="Times New Roman" w:cs="Times New Roman"/>
          <w:sz w:val="24"/>
          <w:szCs w:val="24"/>
        </w:rPr>
      </w:r>
      <w:bookmarkStart w:id="162" w:name="_Ref125366631"/>
      <w:r>
        <w:rPr>
          <w:rFonts w:ascii="Times New Roman" w:hAnsi="Times New Roman" w:eastAsia="Times New Roman" w:cs="Times New Roman"/>
          <w:sz w:val="24"/>
          <w:szCs w:val="24"/>
        </w:rPr>
      </w:r>
      <w:bookmarkStart w:id="163" w:name="_Ref125366796"/>
      <w:r>
        <w:rPr>
          <w:rFonts w:ascii="Times New Roman" w:hAnsi="Times New Roman" w:eastAsia="Times New Roman" w:cs="Times New Roman"/>
          <w:sz w:val="24"/>
          <w:szCs w:val="24"/>
        </w:rPr>
        <w:t xml:space="preserve">Признание закупки несостоявшейся</w:t>
      </w:r>
      <w:bookmarkEnd w:id="158"/>
      <w:r>
        <w:rPr>
          <w:rFonts w:ascii="Times New Roman" w:hAnsi="Times New Roman" w:eastAsia="Times New Roman" w:cs="Times New Roman"/>
          <w:sz w:val="24"/>
          <w:szCs w:val="24"/>
        </w:rPr>
      </w:r>
      <w:bookmarkEnd w:id="159"/>
      <w:r>
        <w:rPr>
          <w:rFonts w:ascii="Times New Roman" w:hAnsi="Times New Roman" w:eastAsia="Times New Roman" w:cs="Times New Roman"/>
          <w:sz w:val="24"/>
          <w:szCs w:val="24"/>
        </w:rPr>
      </w:r>
      <w:bookmarkEnd w:id="160"/>
      <w:r>
        <w:rPr>
          <w:rFonts w:ascii="Times New Roman" w:hAnsi="Times New Roman" w:eastAsia="Times New Roman" w:cs="Times New Roman"/>
          <w:sz w:val="24"/>
          <w:szCs w:val="24"/>
        </w:rPr>
      </w:r>
      <w:bookmarkEnd w:id="161"/>
      <w:r>
        <w:rPr>
          <w:rFonts w:ascii="Times New Roman" w:hAnsi="Times New Roman" w:eastAsia="Times New Roman" w:cs="Times New Roman"/>
          <w:sz w:val="24"/>
          <w:szCs w:val="24"/>
        </w:rPr>
      </w:r>
      <w:bookmarkEnd w:id="162"/>
      <w:r>
        <w:rPr>
          <w:rFonts w:ascii="Times New Roman" w:hAnsi="Times New Roman" w:eastAsia="Times New Roman" w:cs="Times New Roman"/>
          <w:sz w:val="24"/>
          <w:szCs w:val="24"/>
        </w:rPr>
      </w:r>
      <w:bookmarkEnd w:id="163"/>
      <w:r>
        <w:rPr>
          <w:rFonts w:ascii="Times New Roman" w:hAnsi="Times New Roman" w:eastAsia="Times New Roman" w:cs="Times New Roman"/>
          <w:sz w:val="24"/>
          <w:szCs w:val="24"/>
        </w:rPr>
      </w:r>
      <w:bookmarkEnd w:id="38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Закупка признается несостоявшейся в следующих случаях: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по окончанию срока подачи заявок поступило менее 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(двух) заявок (с учетом возможных отзывов заявок);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результатам рассмотрения первых частей заявок Закупочной комиссией принято решение о признании менее 2 (двух) заявок соответствующими требованиям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результатам рассмотрения вторых частей заявок и ценовых предложений Закупочной комиссией принято решение о признании менее 2 (двух) заявок соответствующими требованиям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Указанные обстоятельства в случае их наступления фиксируются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соответствующем протоколе, оформляемом по результатам проведения закупки (или ее этапа).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признания закупки несостоявшейся Заказчик вправе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(с учетом условий, предусмотренных Положением о закупке)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принять решение о проведении повторной закупки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том числе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возможностью снятия признака закупки только среди субъектов МСП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заключить договор с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динственным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частником несостоявшейся закупки (раздел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_Ref126142429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отказаться от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дополнительного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повторного проведения данной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(при отсутствии заявок, соответствующих установленным требованиям, по результатам повторного проведения закупки)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89" w:name="_Toc32"/>
      <w:r>
        <w:rPr>
          <w:rFonts w:ascii="Times New Roman" w:hAnsi="Times New Roman" w:eastAsia="Times New Roman" w:cs="Times New Roman"/>
          <w:sz w:val="24"/>
          <w:szCs w:val="24"/>
        </w:rPr>
      </w:r>
      <w:bookmarkStart w:id="165" w:name="_Ref126141962"/>
      <w:r>
        <w:rPr>
          <w:rFonts w:ascii="Times New Roman" w:hAnsi="Times New Roman" w:eastAsia="Times New Roman" w:cs="Times New Roman"/>
          <w:sz w:val="24"/>
          <w:szCs w:val="24"/>
        </w:rPr>
      </w:r>
      <w:bookmarkStart w:id="166" w:name="_Ref132816134"/>
      <w:r>
        <w:rPr>
          <w:rFonts w:ascii="Times New Roman" w:hAnsi="Times New Roman" w:eastAsia="Times New Roman" w:cs="Times New Roman"/>
          <w:sz w:val="24"/>
          <w:szCs w:val="24"/>
        </w:rPr>
      </w:r>
      <w:bookmarkStart w:id="167" w:name="_Ref132816141"/>
      <w:r>
        <w:rPr>
          <w:rFonts w:ascii="Times New Roman" w:hAnsi="Times New Roman" w:eastAsia="Times New Roman" w:cs="Times New Roman"/>
          <w:sz w:val="24"/>
          <w:szCs w:val="24"/>
        </w:rPr>
        <w:t xml:space="preserve">Отказ от проведения закупки</w:t>
      </w:r>
      <w:bookmarkEnd w:id="165"/>
      <w:r>
        <w:rPr>
          <w:rFonts w:ascii="Times New Roman" w:hAnsi="Times New Roman" w:eastAsia="Times New Roman" w:cs="Times New Roman"/>
          <w:sz w:val="24"/>
          <w:szCs w:val="24"/>
        </w:rPr>
        <w:t xml:space="preserve"> (отмена закупки)</w:t>
      </w:r>
      <w:bookmarkEnd w:id="166"/>
      <w:r>
        <w:rPr>
          <w:rFonts w:ascii="Times New Roman" w:hAnsi="Times New Roman" w:eastAsia="Times New Roman" w:cs="Times New Roman"/>
          <w:sz w:val="24"/>
          <w:szCs w:val="24"/>
        </w:rPr>
      </w:r>
      <w:bookmarkEnd w:id="167"/>
      <w:r>
        <w:rPr>
          <w:rFonts w:ascii="Times New Roman" w:hAnsi="Times New Roman" w:eastAsia="Times New Roman" w:cs="Times New Roman"/>
          <w:sz w:val="24"/>
          <w:szCs w:val="24"/>
        </w:rPr>
      </w:r>
      <w:bookmarkEnd w:id="38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имеет право отказаться от проведения закупки не позднее окончания срока подачи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 неся никакой ответственности перед Участниками или третьими лицами, которым такое действие может принести убытки.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гражданским законодательством.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0" w:name="_Toc33"/>
      <w:r>
        <w:rPr>
          <w:rFonts w:ascii="Times New Roman" w:hAnsi="Times New Roman" w:eastAsia="Times New Roman" w:cs="Times New Roman"/>
          <w:sz w:val="24"/>
          <w:szCs w:val="24"/>
        </w:rPr>
      </w:r>
      <w:bookmarkStart w:id="169" w:name="_Ref130455226"/>
      <w:r>
        <w:rPr>
          <w:rFonts w:ascii="Times New Roman" w:hAnsi="Times New Roman" w:eastAsia="Times New Roman" w:cs="Times New Roman"/>
          <w:sz w:val="24"/>
          <w:szCs w:val="24"/>
        </w:rPr>
      </w:r>
      <w:bookmarkStart w:id="170" w:name="_Ref130225422"/>
      <w:r>
        <w:rPr>
          <w:rFonts w:ascii="Times New Roman" w:hAnsi="Times New Roman" w:eastAsia="Times New Roman" w:cs="Times New Roman"/>
          <w:sz w:val="24"/>
          <w:szCs w:val="24"/>
        </w:rPr>
      </w:r>
      <w:bookmarkStart w:id="171" w:name="_Ref125361212"/>
      <w:r>
        <w:rPr>
          <w:rFonts w:ascii="Times New Roman" w:hAnsi="Times New Roman" w:eastAsia="Times New Roman" w:cs="Times New Roman"/>
          <w:sz w:val="24"/>
          <w:szCs w:val="24"/>
        </w:rPr>
      </w:r>
      <w:bookmarkStart w:id="172" w:name="_Ref125362671"/>
      <w:r>
        <w:rPr>
          <w:rFonts w:ascii="Times New Roman" w:hAnsi="Times New Roman" w:eastAsia="Times New Roman" w:cs="Times New Roman"/>
          <w:sz w:val="24"/>
          <w:szCs w:val="24"/>
        </w:rPr>
      </w:r>
      <w:bookmarkStart w:id="173" w:name="_Ref125363439"/>
      <w:r>
        <w:rPr>
          <w:rFonts w:ascii="Times New Roman" w:hAnsi="Times New Roman" w:eastAsia="Times New Roman" w:cs="Times New Roman"/>
          <w:sz w:val="24"/>
          <w:szCs w:val="24"/>
        </w:rPr>
      </w:r>
      <w:bookmarkStart w:id="174" w:name="_Ref125366769"/>
      <w:r>
        <w:rPr>
          <w:rFonts w:ascii="Times New Roman" w:hAnsi="Times New Roman" w:eastAsia="Times New Roman" w:cs="Times New Roman"/>
          <w:sz w:val="24"/>
          <w:szCs w:val="24"/>
        </w:rPr>
      </w:r>
      <w:bookmarkStart w:id="175" w:name="_Ref125367083"/>
      <w:r>
        <w:rPr>
          <w:rFonts w:ascii="Times New Roman" w:hAnsi="Times New Roman" w:eastAsia="Times New Roman" w:cs="Times New Roman"/>
          <w:sz w:val="24"/>
          <w:szCs w:val="24"/>
        </w:rPr>
      </w:r>
      <w:bookmarkStart w:id="176" w:name="_Ref125367087"/>
      <w:r>
        <w:rPr>
          <w:rFonts w:ascii="Times New Roman" w:hAnsi="Times New Roman" w:eastAsia="Times New Roman" w:cs="Times New Roman"/>
          <w:sz w:val="24"/>
          <w:szCs w:val="24"/>
        </w:rPr>
        <w:t xml:space="preserve">Особенности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проведения закупки с необходимостью обеспечения заявки</w:t>
      </w:r>
      <w:bookmarkEnd w:id="169"/>
      <w:r>
        <w:rPr>
          <w:rFonts w:ascii="Times New Roman" w:hAnsi="Times New Roman" w:eastAsia="Times New Roman" w:cs="Times New Roman"/>
          <w:sz w:val="24"/>
          <w:szCs w:val="24"/>
        </w:rPr>
      </w:r>
      <w:bookmarkEnd w:id="39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Нормы настоящего подраздела применяются, если подразделом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предусмотрена обязанность Участников предоставить обеспечение заявки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участие в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Настоящий подраздел дополняет или изменяет порядок проведения закупки.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Обязательства Участников, связанные с подачей заявок, обеспечиваются в форме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порядке и размере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подразделом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Выбор формы (способа) обеспечения из числа предусмотренных осуществляется Участниками самостоятельно.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выбора Участником обеспечения заявки в виде денежных средств, такие денежные средства в требуемом размере должны быть внесены до момента окончания срока подачи заявок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на специальный банковский счет, открытый Участником в банке, включенном в перечень, определенный Правительством Российской Федерации в соответствии с Законом 44-ФЗ и размещенный на официальном сайте Министерства финансов Российской Федерации</w:t>
      </w:r>
      <w:r>
        <w:rPr>
          <w:rStyle w:val="1157"/>
          <w:rFonts w:ascii="Times New Roman" w:hAnsi="Times New Roman" w:eastAsia="Times New Roman" w:cs="Times New Roman"/>
          <w:sz w:val="24"/>
          <w:szCs w:val="24"/>
        </w:rPr>
        <w:footnoteReference w:id="11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на сайте ЭП, с использованием которой проводится настоящая закупка, при условии соответствия банка требованиям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оссийской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едерации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а также наличия соответствующего соглашения об интеграции и обмене информацией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течение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(одного) часа с момента окончания срока подачи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 ЭП направляет в банк, в котором Участником открыт специальный банковский счет, информацию о таком Участнике и размере денежных средств, необходимом для обеспечения заявки. Банк в течение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(одного)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ператора ЭП.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Блокирование денежных средств не осуществляется в случае отсутствия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специальном банковском счете Участника денежных средств в требуемом размере, либо в случае приостановления операций по такому счету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 законодательством, о чем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 ЭП информируется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течение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(одного) часа.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сли блокирование денежных средств не может быть осуществлено,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 ЭП возвращает заявку подавшему ее Участнику в течение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(одного) часа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момента получения соответствующей информации от банка. Такая заявка автоматически отклоняется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ператором ЭП от дальнейшего участия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закупке, а сведения о ней не направляются в адрес Организатора.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выбора Участником обеспечения заявки путем предоставления независимой гарантии, такая независимая гарантия составляется с учетом требований статей 368 – 379 ГК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РФ, а также следующих условий: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езависимая гарантия должна быть безотзывной и безусловной (гарантия по первому требованию);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умма независимой гарантии должна быть выражена в российских рублях и составлять не менее суммы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установленной 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енефициаром в независимой гарантии должен быть указан Заказчик, принципалом – Участник, гарантом – организация, выдавшая независимую гарантию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подпункт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 _Ref132716380 \d ( \h \w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(4.18.8(л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независимой гарантии должно быть предусмотрено условие 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обязанности гаранта уплатить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аказчику (бенефициару) денежную сумму по независимой гарантии не позднее 10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(десяти) рабочих дней со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дня, следующего за днем получения гарантом требования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аказчика (бенефициара), соответствующего условиям такой независимой гарантии, при отсутствии предусмотренных ГК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РФ оснований для отказа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удовлетворении этого требования;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независимой гарантии должен быть указан перечень документов, подлежащих представлению заказчиком гаранту одновременно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требованием об уплате денежной суммы по независимой гарантии,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случае установления такого перечня Правительством Российской Федерации;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независимой гарантии должен быть указан срок действия независимой гарантии, который не может составлять менее одного месяца с даты окончания срока подачи 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езависимая гарантия не должна содержать условие о предоставлении Заказчиком гаранту судебных актов, подтверждающих неисполнение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частником обязательств, обеспечиваемых независимой гарантией;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независимой гарантии должно быть предусмотрено безусловное право Заказчика на истребование суммы независимой гарантии полностью или частично, в случае нарушения Участником закупки своих обязательств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ункт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_Ref132716182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4.18.14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езависимая гарантия должна содержать условия, предусмотренные Законом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223-ФЗ, а также соответствовать дополнительным требованиям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независимой гарантии, используемой для целей проведения конкурентных закупок с участием субъектов МСП, устанавливаемым Правительством 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оссийской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едерации;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независимой гарантии не должно быть условий или требований, противоречащих вышеизложенному или делающих вышеизложенное неисполнимым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78" w:name="_Ref132716380"/>
      <w:r>
        <w:rPr>
          <w:rFonts w:ascii="Times New Roman" w:hAnsi="Times New Roman" w:eastAsia="Times New Roman" w:cs="Times New Roman"/>
          <w:sz w:val="24"/>
          <w:szCs w:val="24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езависимая гарантия должна быть выдана организацией из числа указанных в части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 статьи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45 Закона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44-ФЗ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bookmarkEnd w:id="17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езависимая гарантия должна быть подчинена материальному праву Российской Федерации и регулироваться «Унифицированными правилами для гарантий по требованию, включая типовые формы (URDG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758)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убликация Международной торговой палаты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758). Редакция 2010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года» в той мере, в какой указанные правила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противоречат императивным нормам законодательства, а также предусматривать Арбитражный суд по месту нахождения Заказчика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качестве органа, компетентного разрешать споры из независимой гарантии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нформация о независимой гарантии должна быть включена в реестр независимых гарантий, предусмотренный частью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 статьи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 Закона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44</w:t>
      </w:r>
      <w:r>
        <w:rPr>
          <w:rFonts w:ascii="Times New Roman" w:hAnsi="Times New Roman" w:eastAsia="Times New Roman" w:cs="Times New Roman"/>
          <w:sz w:val="24"/>
          <w:szCs w:val="24"/>
        </w:rPr>
        <w:noBreakHyphen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ФЗ.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выбора Учас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тником обеспечения заявки путем предоставления независимой гарантии он должен предоставить в составе своей заявки копию такой гарантии, подтверждающую наличие обеспечения заявки в требуемом размере и соответствующую требованиям к условиям такой гарантии.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противном случае обеспечение заявки считается невнесенным,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обязан отклонить заявку такого Участника.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Несоответствие независимой гарантии, предоставленной Участником закупки, предусмотренным настоящей Документацией о закупке требованиям, является основанием для отклонения заявки такого Участника.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многолотовой закупк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_Ref149317181 \n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4.19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обеспечение исполнения обязательств Участника оформляется на сумму, равную суммарной стоимости обеспечения по всем лотам, на которые Участник подает заявку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 также допускается внесение обеспечения отдельно по каждому из лотов. Удержание Организатором обеспечения может производиться только по тем лотам,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которые Участник подал заявку и по которым он был признан Победителем.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Подать заявку (принять участие в закупке) могут только Участники, 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достав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вшие надлежащее обеспечение их заявок.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Требование об обеспечении заявки в равной мере распространяется на всех Участников.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79" w:name="_Ref132716182"/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Участника:</w:t>
      </w:r>
      <w:bookmarkEnd w:id="17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обязательство заключить Договор в установленном Документацией о закупке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порядке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_Ref130224037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в том числе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предоставить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Сведения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цепочке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собственников, включая бенефициаров (в том числе конечных) (</w:t>
      </w:r>
      <w:hyperlink w:tooltip="#Прил05_ФормыПобедителя" w:anchor="Прил05_ФормыПобедителя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5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а также предоставить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иные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документы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условиями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подраздела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_Ref138341423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обязательство предоставить до заключения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договора Заказчику обеспечение исполнения договора – если </w:t>
      </w:r>
      <w:hyperlink w:tooltip="#Прил02_ПроектДоговора" w:anchor="Прил02_ПроектДоговора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Проект договора (Приложение № 2)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 предусматривает обеспечение исполнения договора с соответствующим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обязательствами (в порядке и сроки, предусмотренные </w:t>
      </w:r>
      <w:hyperlink w:tooltip="#Прил02_ПроектДоговора" w:anchor="Прил02_ПроектДоговора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Проектом договора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невыполнения Победителем указанных выше обязательств Организатор вправе удержать обеспечение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путем обращения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соответствующую организацию-гарант.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 этом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случае предоставления Участником обеспечения в виде денежных средств, сумма обеспечения заявки, внесенная на специальный банковский счет, перечисляется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анком-гарантом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счет Заказчика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Возврат обеспечения заявки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(в случае предоставления Участником обеспечения в виде денежных средств)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осуществляется Организатором в срок не более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7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семи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рабочих дней с даты: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принятия решения об отказе от проведения закупки – всем Участникам, подавшим заявки к моменту принятия такого решения;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поступления уведомления об отзыве заявки в случаях, когда такой отзыв осуществлен в установленные в Документации о закупке сроки – Участнику, отозвавшему заявку;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официального размещения итогового протокола по результатам закупки – всем Участникам, кроме Победителя;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заключения Договора по результатам закупки – Победителю, с которым заключен Договор;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признания закупки несостоявшейся – Участнику, которому обеспечение не было возвращено по иным основаниям.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Возврат обеспечения заявки может быть задержан в случае поступления в установленном законодательством порядке жалобы по закупке (подраздел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_Ref125363536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2.3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– на время рассмотрения жалобы.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1" w:name="_Toc34"/>
      <w:r>
        <w:rPr>
          <w:rFonts w:ascii="Times New Roman" w:hAnsi="Times New Roman" w:eastAsia="Times New Roman" w:cs="Times New Roman"/>
          <w:sz w:val="24"/>
          <w:szCs w:val="24"/>
        </w:rPr>
      </w:r>
      <w:bookmarkStart w:id="180" w:name="_Ref149317181"/>
      <w:r>
        <w:rPr>
          <w:rFonts w:ascii="Times New Roman" w:hAnsi="Times New Roman" w:eastAsia="Times New Roman" w:cs="Times New Roman"/>
          <w:sz w:val="24"/>
          <w:szCs w:val="24"/>
        </w:rPr>
        <w:t xml:space="preserve">Особенности проведения 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ноголотов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закупк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bookmarkEnd w:id="170"/>
      <w:r>
        <w:rPr>
          <w:rFonts w:ascii="Times New Roman" w:hAnsi="Times New Roman" w:eastAsia="Times New Roman" w:cs="Times New Roman"/>
          <w:sz w:val="24"/>
          <w:szCs w:val="24"/>
        </w:rPr>
      </w:r>
      <w:bookmarkEnd w:id="180"/>
      <w:r>
        <w:rPr>
          <w:rFonts w:ascii="Times New Roman" w:hAnsi="Times New Roman" w:eastAsia="Times New Roman" w:cs="Times New Roman"/>
          <w:sz w:val="24"/>
          <w:szCs w:val="24"/>
        </w:rPr>
      </w:r>
      <w:bookmarkEnd w:id="39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Нормы настоящего подраздела применяются, если подразделом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предусмотрено проведение многолотовой 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Настоящий подраздел дополняет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 изменяет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проведения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случае противоречий между требованиями настоящего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порядка проведения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 инструкциями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подготовке заяв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применяются требования настоящего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раздела.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Многолотовая закупка может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проводиться как для одного, так и для нескольких Заказчиков. Для всех лотов выпускается общее Извещение, Документация о закупке, решения по каждому лоту принимает одна и та же Закупочная комиссия. Любые положения Документации о закупке, если в них прямо не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 номер конкретного лота, относятся ко всем лотам одновременно.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может подать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одну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любой лот, любые несколько лотов или все лоты по собственному выбору.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 этом не допускается разбиение отдельного лота на части, то есть подача заявки на часть лота по отдельным видам или объемам продукции.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многолотовой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подача Участником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одной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каждый лот,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считается подач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второй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подачи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несколько лотов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дополнительно должны быть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соблюдены следующие требования: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Письмо о подаче оферты (форма 2)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hyperlink w:tooltip="#Прил04_ФормыЗаявки" w:anchor="Прил04_ФормыЗаявк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должно содержать указание номера и названия каждого лота;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Коммерческое предложение (форма 3), Техническое предложение (форма 4), Календарный график (форма 5)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План распределения объемов поставки продукции (форма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11)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</w:t>
      </w:r>
      <w:hyperlink w:tooltip="#Прил04_ФормыЗаявки" w:anchor="Прил04_ФормыЗаявк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должны быть подготовлены отдельно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каждому из лотов с указанием номера и названия лота.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Решения, принимаемые в ходе процедуры закупки, в том числе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решения в рамках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(первых частей заявок, вторых частей заявок и ценовых предложений)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оценк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 и сопоставления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заявок, определени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Победителя, признани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закупки несостоявшейся, отказ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от дальнейшего ее проведения и т.д., осуществляются раздельно и независимо по каждому из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лотов. При этом Организатор вправе оформить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каждому лоту отдельный протокол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или сформировать общий по всем лотам протокол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закупки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который в отношении каждого лота вносятся сведения, подлежащие официальному размещению.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2" w:name="_Toc35"/>
      <w:r>
        <w:rPr>
          <w:rFonts w:ascii="Times New Roman" w:hAnsi="Times New Roman" w:eastAsia="Times New Roman" w:cs="Times New Roman"/>
          <w:sz w:val="24"/>
          <w:szCs w:val="24"/>
        </w:rPr>
      </w:r>
      <w:bookmarkStart w:id="186" w:name="_Ref126142429"/>
      <w:r>
        <w:rPr>
          <w:rFonts w:ascii="Times New Roman" w:hAnsi="Times New Roman" w:eastAsia="Times New Roman" w:cs="Times New Roman"/>
          <w:sz w:val="24"/>
          <w:szCs w:val="24"/>
        </w:rPr>
      </w:r>
      <w:bookmarkStart w:id="187" w:name="_Ref130224037"/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орядок заключения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</w:t>
      </w:r>
      <w:bookmarkEnd w:id="171"/>
      <w:r>
        <w:rPr>
          <w:rFonts w:ascii="Times New Roman" w:hAnsi="Times New Roman" w:eastAsia="Times New Roman" w:cs="Times New Roman"/>
          <w:sz w:val="24"/>
          <w:szCs w:val="24"/>
        </w:rPr>
      </w:r>
      <w:bookmarkEnd w:id="172"/>
      <w:r>
        <w:rPr>
          <w:rFonts w:ascii="Times New Roman" w:hAnsi="Times New Roman" w:eastAsia="Times New Roman" w:cs="Times New Roman"/>
          <w:sz w:val="24"/>
          <w:szCs w:val="24"/>
        </w:rPr>
      </w:r>
      <w:bookmarkEnd w:id="173"/>
      <w:r>
        <w:rPr>
          <w:rFonts w:ascii="Times New Roman" w:hAnsi="Times New Roman" w:eastAsia="Times New Roman" w:cs="Times New Roman"/>
          <w:sz w:val="24"/>
          <w:szCs w:val="24"/>
        </w:rPr>
      </w:r>
      <w:bookmarkEnd w:id="174"/>
      <w:r>
        <w:rPr>
          <w:rFonts w:ascii="Times New Roman" w:hAnsi="Times New Roman" w:eastAsia="Times New Roman" w:cs="Times New Roman"/>
          <w:sz w:val="24"/>
          <w:szCs w:val="24"/>
        </w:rPr>
      </w:r>
      <w:bookmarkEnd w:id="175"/>
      <w:r>
        <w:rPr>
          <w:rFonts w:ascii="Times New Roman" w:hAnsi="Times New Roman" w:eastAsia="Times New Roman" w:cs="Times New Roman"/>
          <w:sz w:val="24"/>
          <w:szCs w:val="24"/>
        </w:rPr>
      </w:r>
      <w:bookmarkEnd w:id="176"/>
      <w:r>
        <w:rPr>
          <w:rFonts w:ascii="Times New Roman" w:hAnsi="Times New Roman" w:eastAsia="Times New Roman" w:cs="Times New Roman"/>
          <w:sz w:val="24"/>
          <w:szCs w:val="24"/>
        </w:rPr>
      </w:r>
      <w:bookmarkEnd w:id="186"/>
      <w:r>
        <w:rPr>
          <w:rFonts w:ascii="Times New Roman" w:hAnsi="Times New Roman" w:eastAsia="Times New Roman" w:cs="Times New Roman"/>
          <w:sz w:val="24"/>
          <w:szCs w:val="24"/>
        </w:rPr>
      </w:r>
      <w:bookmarkEnd w:id="187"/>
      <w:r>
        <w:rPr>
          <w:rFonts w:ascii="Times New Roman" w:hAnsi="Times New Roman" w:eastAsia="Times New Roman" w:cs="Times New Roman"/>
          <w:sz w:val="24"/>
          <w:szCs w:val="24"/>
        </w:rPr>
      </w:r>
      <w:bookmarkEnd w:id="392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3" w:name="_Toc36"/>
      <w:r>
        <w:rPr>
          <w:rFonts w:ascii="Times New Roman" w:hAnsi="Times New Roman" w:eastAsia="Times New Roman" w:cs="Times New Roman"/>
          <w:sz w:val="24"/>
          <w:szCs w:val="24"/>
        </w:rPr>
      </w:r>
      <w:bookmarkStart w:id="189" w:name="_Ref125366947"/>
      <w:r>
        <w:rPr>
          <w:rFonts w:ascii="Times New Roman" w:hAnsi="Times New Roman" w:eastAsia="Times New Roman" w:cs="Times New Roman"/>
          <w:sz w:val="24"/>
          <w:szCs w:val="24"/>
        </w:rPr>
      </w:r>
      <w:bookmarkStart w:id="190" w:name="_Ref125368755"/>
      <w:r>
        <w:rPr>
          <w:rFonts w:ascii="Times New Roman" w:hAnsi="Times New Roman" w:eastAsia="Times New Roman" w:cs="Times New Roman"/>
          <w:sz w:val="24"/>
          <w:szCs w:val="24"/>
        </w:rPr>
        <w:t xml:space="preserve">Общие положения</w:t>
      </w:r>
      <w:bookmarkEnd w:id="39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Нормы настоящего раздела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_Ref126142429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также применяются в отношении Единственного участника несостоявшейся закупки, с которым принято решение о заключении договора (к нему применяются те же нормы, что и в отношении Победителя).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4" w:name="_Toc37"/>
      <w:r>
        <w:rPr>
          <w:rFonts w:ascii="Times New Roman" w:hAnsi="Times New Roman" w:eastAsia="Times New Roman" w:cs="Times New Roman"/>
          <w:sz w:val="24"/>
          <w:szCs w:val="24"/>
        </w:rPr>
      </w:r>
      <w:bookmarkStart w:id="192" w:name="_Ref138341423"/>
      <w:r>
        <w:rPr>
          <w:rFonts w:ascii="Times New Roman" w:hAnsi="Times New Roman" w:eastAsia="Times New Roman" w:cs="Times New Roman"/>
          <w:sz w:val="24"/>
          <w:szCs w:val="24"/>
        </w:rPr>
        <w:t xml:space="preserve">Заключение Договора</w:t>
      </w:r>
      <w:bookmarkEnd w:id="189"/>
      <w:r>
        <w:rPr>
          <w:rFonts w:ascii="Times New Roman" w:hAnsi="Times New Roman" w:eastAsia="Times New Roman" w:cs="Times New Roman"/>
          <w:sz w:val="24"/>
          <w:szCs w:val="24"/>
        </w:rPr>
      </w:r>
      <w:bookmarkEnd w:id="190"/>
      <w:r>
        <w:rPr>
          <w:rFonts w:ascii="Times New Roman" w:hAnsi="Times New Roman" w:eastAsia="Times New Roman" w:cs="Times New Roman"/>
          <w:sz w:val="24"/>
          <w:szCs w:val="24"/>
        </w:rPr>
      </w:r>
      <w:bookmarkEnd w:id="192"/>
      <w:r>
        <w:rPr>
          <w:rFonts w:ascii="Times New Roman" w:hAnsi="Times New Roman" w:eastAsia="Times New Roman" w:cs="Times New Roman"/>
          <w:sz w:val="24"/>
          <w:szCs w:val="24"/>
        </w:rPr>
      </w:r>
      <w:bookmarkEnd w:id="39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94" w:name="_Ref125362935"/>
      <w:r>
        <w:rPr>
          <w:rFonts w:ascii="Times New Roman" w:hAnsi="Times New Roman" w:eastAsia="Times New Roman" w:cs="Times New Roman"/>
          <w:sz w:val="24"/>
          <w:szCs w:val="24"/>
        </w:rPr>
      </w:r>
      <w:bookmarkStart w:id="195" w:name="_Ref130293821"/>
      <w:r>
        <w:rPr>
          <w:rFonts w:ascii="Times New Roman" w:hAnsi="Times New Roman" w:eastAsia="Times New Roman" w:cs="Times New Roman"/>
          <w:sz w:val="24"/>
          <w:szCs w:val="24"/>
        </w:rPr>
        <w:t xml:space="preserve">Договор между Заказчиком и Победителем заключается не ранее чем через 10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(десять) календарных дней и не позднее чем через 20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(двадцать) календарных дней с даты официального размещения итогового протокола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результатам закупки.</w:t>
      </w:r>
      <w:bookmarkEnd w:id="194"/>
      <w:r>
        <w:rPr>
          <w:rFonts w:ascii="Times New Roman" w:hAnsi="Times New Roman" w:eastAsia="Times New Roman" w:cs="Times New Roman"/>
          <w:sz w:val="24"/>
          <w:szCs w:val="24"/>
        </w:rPr>
      </w:r>
      <w:bookmarkEnd w:id="195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Договор не может быть заключен, если это запрещено законодательством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национальном режиме в случаях, установленных в 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_Ref186219943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96" w:name="_Ref125363464"/>
      <w:r>
        <w:rPr>
          <w:rFonts w:ascii="Times New Roman" w:hAnsi="Times New Roman" w:eastAsia="Times New Roman" w:cs="Times New Roman"/>
          <w:sz w:val="24"/>
          <w:szCs w:val="24"/>
        </w:rPr>
        <w:t xml:space="preserve">В целях заключения Договора Участник, признанный Победителем, обязан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срок не позднее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рабочих дней с даты официального размещения Организатором итогового протокола по результатам закупки, направить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адресу,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определенному 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как 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есто подачи документов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отношении цепочки собственников, включая конечных бенефициаров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Справку о цепочке собственников, включая бенефициаров (в том числе конечных), по форме в 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hyperlink w:tooltip="#Прил05_ФормыПобедителя" w:anchor="Прил05_ФормыПобедителя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Приложением №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5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 приложением подтверждающих документов согласно перечню, установленному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 к указанной справке. Данные документы должны быть предоставлены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бумажном виде и на электронном носителе в отдельном запечатанном конверте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надписью «Документы Победителя о цепочке собственников».</w:t>
      </w:r>
      <w:bookmarkEnd w:id="196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срок не позднее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рабочих дней с даты официального размещения Организатором итогового протокола по результатам закупки, Победитель обязан предоставить Заказчику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(скан-копия в формате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pdf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Заверение 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обстоятельствах, представляющ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 собой гарантийное письмо об отсутствии обстоятельств,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препятствующих 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Приложением № 5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97" w:name="_Ref125551072"/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еред заключением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Победитель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обязан предоставить Заказчику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не позднее сроков, установленных в пункте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_Ref130293821 \w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5.2.1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целях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подтверждения своего соответствия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обязательному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ю к Участникам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указанн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пункте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_Ref125552433 \w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подраздела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_Ref125361435 \w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hyperlink w:tooltip="#Прил03_ТребованияУчастникам" w:anchor="Прил03_ТребованияУчастникам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Приложение № 3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следующие документы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(скан-копии в формате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pdf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bookmarkEnd w:id="197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для юридического лица: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опия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става в действующей редакции с отметкой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ИФНС либо копия нотариально заверенного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става (с отметкой нотариуса);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98" w:name="_Ref125638686"/>
      <w:r>
        <w:rPr>
          <w:rFonts w:ascii="Times New Roman" w:hAnsi="Times New Roman" w:eastAsia="Times New Roman" w:cs="Times New Roman"/>
          <w:sz w:val="24"/>
          <w:szCs w:val="24"/>
        </w:rPr>
        <w:t xml:space="preserve">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опии документов, подтверждающих полномочия единоличного исполнительного органа Участника или Управляющей компании (протоколы об избрании единоличного исполнительного органа или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передаче полномочий Управляющей компании), заверенные Победителем;</w:t>
      </w:r>
      <w:bookmarkEnd w:id="19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дополнительно предоставляется машиночитаемая доверенность (посредством информационных систем, на которых проводится закупка) на физическое лицо, которое подписывает договор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для лиц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зарегистрированн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вне Российской Федерации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ыписк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торгового реестра страны регистрации иностранного Участника;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ля физическ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лиц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нотариально заверенная копия всех страниц документа, удостоверяющего личность (паспорта);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сли в соответствии с законодательством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ставом Заказчика потребуется предварительное одобрение заключаемого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предложенных Победителем условиях Договора компетентными органами управления Заказчика (Общим собранием акционеров, Советом директоров и т.п.), Договор с Победителем заключается не позднее чем через 5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(пять) календарных дней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даты указанного одобрения.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обжалования в антимонопольном органе результатов закупки Договор заключается не позднее чем через 5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(пять) календарных дней с даты вынесения решения антимонопольного органа по результатам такого обжалования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(за исключением случая возврата на предыдущий этап закупки)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200" w:name="_Ref132288402"/>
      <w:r>
        <w:rPr>
          <w:rFonts w:ascii="Times New Roman" w:hAnsi="Times New Roman" w:eastAsia="Times New Roman" w:cs="Times New Roman"/>
          <w:sz w:val="24"/>
          <w:szCs w:val="24"/>
        </w:rPr>
        <w:t xml:space="preserve">При определении условий Договора по результатам закупки используются следующие документы с соблюдением указанной иерархии в порядке перечисления (в случае их противоречия):</w:t>
      </w:r>
      <w:bookmarkEnd w:id="20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итоговый протокол по результатам закупки;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Извещение и Документация о закупке со всеми изменениями;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заявка Победителя со всеми дополнениями и разъяснениями.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Договор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согласовывается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заключается с использованием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функционала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ЭП,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том числе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подпис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ывается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усиленной квалифицированной электронной подписью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уполномоченного лица Победителя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соответственно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течение установленного в пункте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_Ref130293821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5.2.1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срока Заказчик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использованием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функционала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ЭП направляет в адрес Победителя заполненный со своей стороны проект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201" w:name="_Ref49437111"/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наличия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 Победителя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разногласий по направленному Заказчиком проекту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Победитель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составляет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ротокол разногласий с указанием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нем своих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замечаний к положениям проекта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оговора, не соответствующим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условиям настоящей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окументации о закупке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Победителя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приведением ссылок на конкретные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пункты / положения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данных документов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которым они не соответствуют)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Протокол разногласий направляется Заказчику с использованием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функционала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После рассмотрения указанного протокола разногласий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вправе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направ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ить Победителю доработанный проект 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 либо повторно направ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ить исходный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проект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 с указанием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отдельном документе причин отказа учесть полностью или частично замечания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содержащиеся в протоколе разногласий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Победителя.</w:t>
      </w:r>
      <w:bookmarkEnd w:id="20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202" w:name="_Ref125368506"/>
      <w:r>
        <w:rPr>
          <w:rFonts w:ascii="Times New Roman" w:hAnsi="Times New Roman" w:eastAsia="Times New Roman" w:cs="Times New Roman"/>
          <w:sz w:val="24"/>
          <w:szCs w:val="24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ведения о заключенном Договоре в течение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рабочих дней со дня заключения такого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вносятся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Оператором ЭП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Реестр договоров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ЕИС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(если размещение таких сведений допустимо Законом 223-ФЗ)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Если 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заключении и исполнении Договора изменятся количество, объем, цена закупаемой продукции или сроки исполнения Договора (по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сравнению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указанными в итоговом протоколе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результатам закупки), то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течение 10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(десяти) календарных дней со дня внесения таких изменений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Договор </w:t>
      </w:r>
      <w:bookmarkStart w:id="203" w:name="_Hlk132806825"/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соответствующая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информаци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 указанием измененных условий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Договора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также размещается в ЕИС (если размещение таких сведений допустимо Законом 223-ФЗ)</w:t>
      </w:r>
      <w:bookmarkEnd w:id="203"/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bookmarkEnd w:id="202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до момента заключения с Договора в отношении Победителя была проведена повторная проверка в рамках мониторинга аккредитованных поставщиков (в соответствии с Положением об аккредитации), и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результатам такой проверки ему присвоен статус «не аккредитован», то он утрачивает статус Победителя, а Закупочная комиссия имеет право выбрать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качестве Победителя иного Участника, занявшего следующее место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ранжировке заявок после Победителя, из числа остальных действующих заявок (при наличии у него статуса «аккредитован» / «аккредитация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требуется»).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5" w:name="_Toc38"/>
      <w:r>
        <w:rPr>
          <w:rFonts w:ascii="Times New Roman" w:hAnsi="Times New Roman" w:eastAsia="Times New Roman" w:cs="Times New Roman"/>
          <w:sz w:val="24"/>
          <w:szCs w:val="24"/>
        </w:rPr>
      </w:r>
      <w:bookmarkStart w:id="204" w:name="_Ref125367068"/>
      <w:r>
        <w:rPr>
          <w:rFonts w:ascii="Times New Roman" w:hAnsi="Times New Roman" w:eastAsia="Times New Roman" w:cs="Times New Roman"/>
          <w:sz w:val="24"/>
          <w:szCs w:val="24"/>
        </w:rPr>
        <w:t xml:space="preserve">Уклонение Победителя от заключения Договора</w:t>
      </w:r>
      <w:bookmarkEnd w:id="204"/>
      <w:r>
        <w:rPr>
          <w:rFonts w:ascii="Times New Roman" w:hAnsi="Times New Roman" w:eastAsia="Times New Roman" w:cs="Times New Roman"/>
          <w:sz w:val="24"/>
          <w:szCs w:val="24"/>
        </w:rPr>
      </w:r>
      <w:bookmarkEnd w:id="395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сли Победитель закупки: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 подпишет Договор в установленные Документацией о закупке сроки (пункт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_Ref130293821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5.2.1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откажется от подписания Договора на условиях, определяемых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пунктом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_Ref132288402 \r \h </w:instrText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5.2.8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 раскроет информацию в отношении всей цепочки собственников, включая бенефициаров (в том числе конечных), по установленной форме (</w:t>
      </w:r>
      <w:hyperlink w:tooltip="#Прил05_ФормыПобедителя" w:anchor="Прил05_ФормыПобедителя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Приложение №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5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), с приложением подтверждающих документов;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 предоставит Заверение об обстоятельствах, представляющ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собой гарантийное письмо об отсутствии обстоятельств, препятствующих 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Приложением №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5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 предоставит копии документов, обязательных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 предоставлению Победителем закупки в соответствии с требованиями </w:t>
      </w:r>
      <w:hyperlink w:tooltip="#Прил01_ТехТребования" w:anchor="Прил01_ТехТребования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Приложения №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1 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– 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Технические требования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 (в случае установления таковых);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 предоставит обеспечение исполнения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 момента его заключения, если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Документация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предусматривает обеспечение исполнения договора с соответствующими обязательствами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 выполнит другие условия, прямо предусмотренные Документацией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то он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 истечению установленных в подразделе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_Ref138341423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сроков на заключение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признается уклонившимся от заключения Договора и утрачивает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6" w:name="_Toc39"/>
      <w:r>
        <w:rPr>
          <w:rFonts w:ascii="Times New Roman" w:hAnsi="Times New Roman" w:eastAsia="Times New Roman" w:cs="Times New Roman"/>
          <w:sz w:val="24"/>
          <w:szCs w:val="24"/>
        </w:rPr>
      </w:r>
      <w:bookmarkStart w:id="206" w:name="_Ref125363016"/>
      <w:r>
        <w:rPr>
          <w:rFonts w:ascii="Times New Roman" w:hAnsi="Times New Roman" w:eastAsia="Times New Roman" w:cs="Times New Roman"/>
          <w:sz w:val="24"/>
          <w:szCs w:val="24"/>
        </w:rPr>
      </w:r>
      <w:bookmarkStart w:id="207" w:name="_Ref125363023"/>
      <w:r>
        <w:rPr>
          <w:rFonts w:ascii="Times New Roman" w:hAnsi="Times New Roman" w:eastAsia="Times New Roman" w:cs="Times New Roman"/>
          <w:sz w:val="24"/>
          <w:szCs w:val="24"/>
        </w:rPr>
      </w:r>
      <w:bookmarkStart w:id="208" w:name="_Ref125363034"/>
      <w:r>
        <w:rPr>
          <w:rFonts w:ascii="Times New Roman" w:hAnsi="Times New Roman" w:eastAsia="Times New Roman" w:cs="Times New Roman"/>
          <w:sz w:val="24"/>
          <w:szCs w:val="24"/>
        </w:rPr>
      </w:r>
      <w:bookmarkStart w:id="209" w:name="_Ref125363600"/>
      <w:r>
        <w:rPr>
          <w:rFonts w:ascii="Times New Roman" w:hAnsi="Times New Roman" w:eastAsia="Times New Roman" w:cs="Times New Roman"/>
          <w:sz w:val="24"/>
          <w:szCs w:val="24"/>
        </w:rPr>
      </w:r>
      <w:bookmarkStart w:id="210" w:name="_Ref125363752"/>
      <w:r>
        <w:rPr>
          <w:rFonts w:ascii="Times New Roman" w:hAnsi="Times New Roman" w:eastAsia="Times New Roman" w:cs="Times New Roman"/>
          <w:sz w:val="24"/>
          <w:szCs w:val="24"/>
        </w:rPr>
      </w:r>
      <w:bookmarkStart w:id="211" w:name="_Ref125364088"/>
      <w:r>
        <w:rPr>
          <w:rFonts w:ascii="Times New Roman" w:hAnsi="Times New Roman" w:eastAsia="Times New Roman" w:cs="Times New Roman"/>
          <w:sz w:val="24"/>
          <w:szCs w:val="24"/>
        </w:rPr>
      </w:r>
      <w:bookmarkStart w:id="212" w:name="_Ref125364201"/>
      <w:r>
        <w:rPr>
          <w:rFonts w:ascii="Times New Roman" w:hAnsi="Times New Roman" w:eastAsia="Times New Roman" w:cs="Times New Roman"/>
          <w:sz w:val="24"/>
          <w:szCs w:val="24"/>
        </w:rPr>
      </w:r>
      <w:bookmarkStart w:id="213" w:name="_Ref125370732"/>
      <w:r>
        <w:rPr>
          <w:rFonts w:ascii="Times New Roman" w:hAnsi="Times New Roman" w:eastAsia="Times New Roman" w:cs="Times New Roman"/>
          <w:sz w:val="24"/>
          <w:szCs w:val="24"/>
        </w:rPr>
      </w:r>
      <w:bookmarkStart w:id="214" w:name="_Ref125370741"/>
      <w:r>
        <w:rPr>
          <w:rFonts w:ascii="Times New Roman" w:hAnsi="Times New Roman" w:eastAsia="Times New Roman" w:cs="Times New Roman"/>
          <w:sz w:val="24"/>
          <w:szCs w:val="24"/>
        </w:rPr>
      </w:r>
      <w:bookmarkStart w:id="215" w:name="_Ref125370746"/>
      <w:r>
        <w:rPr>
          <w:rFonts w:ascii="Times New Roman" w:hAnsi="Times New Roman" w:eastAsia="Times New Roman" w:cs="Times New Roman"/>
          <w:sz w:val="24"/>
          <w:szCs w:val="24"/>
        </w:rPr>
      </w:r>
      <w:bookmarkStart w:id="216" w:name="_Ref125370750"/>
      <w:r>
        <w:rPr>
          <w:rFonts w:ascii="Times New Roman" w:hAnsi="Times New Roman" w:eastAsia="Times New Roman" w:cs="Times New Roman"/>
          <w:sz w:val="24"/>
          <w:szCs w:val="24"/>
        </w:rPr>
      </w:r>
      <w:bookmarkStart w:id="217" w:name="_Ref125370843"/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bookmarkStart w:id="218" w:name="Прил01_ТехТребования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 1 – Технические требования</w:t>
      </w:r>
      <w:bookmarkEnd w:id="206"/>
      <w:r>
        <w:rPr>
          <w:rFonts w:ascii="Times New Roman" w:hAnsi="Times New Roman" w:eastAsia="Times New Roman" w:cs="Times New Roman"/>
          <w:sz w:val="24"/>
          <w:szCs w:val="24"/>
        </w:rPr>
      </w:r>
      <w:bookmarkEnd w:id="207"/>
      <w:r>
        <w:rPr>
          <w:rFonts w:ascii="Times New Roman" w:hAnsi="Times New Roman" w:eastAsia="Times New Roman" w:cs="Times New Roman"/>
          <w:sz w:val="24"/>
          <w:szCs w:val="24"/>
        </w:rPr>
      </w:r>
      <w:bookmarkEnd w:id="208"/>
      <w:r>
        <w:rPr>
          <w:rFonts w:ascii="Times New Roman" w:hAnsi="Times New Roman" w:eastAsia="Times New Roman" w:cs="Times New Roman"/>
          <w:sz w:val="24"/>
          <w:szCs w:val="24"/>
        </w:rPr>
      </w:r>
      <w:bookmarkEnd w:id="209"/>
      <w:r>
        <w:rPr>
          <w:rFonts w:ascii="Times New Roman" w:hAnsi="Times New Roman" w:eastAsia="Times New Roman" w:cs="Times New Roman"/>
          <w:sz w:val="24"/>
          <w:szCs w:val="24"/>
        </w:rPr>
      </w:r>
      <w:bookmarkEnd w:id="210"/>
      <w:r>
        <w:rPr>
          <w:rFonts w:ascii="Times New Roman" w:hAnsi="Times New Roman" w:eastAsia="Times New Roman" w:cs="Times New Roman"/>
          <w:sz w:val="24"/>
          <w:szCs w:val="24"/>
        </w:rPr>
      </w:r>
      <w:bookmarkEnd w:id="211"/>
      <w:r>
        <w:rPr>
          <w:rFonts w:ascii="Times New Roman" w:hAnsi="Times New Roman" w:eastAsia="Times New Roman" w:cs="Times New Roman"/>
          <w:sz w:val="24"/>
          <w:szCs w:val="24"/>
        </w:rPr>
      </w:r>
      <w:bookmarkEnd w:id="212"/>
      <w:r>
        <w:rPr>
          <w:rFonts w:ascii="Times New Roman" w:hAnsi="Times New Roman" w:eastAsia="Times New Roman" w:cs="Times New Roman"/>
          <w:sz w:val="24"/>
          <w:szCs w:val="24"/>
        </w:rPr>
      </w:r>
      <w:bookmarkEnd w:id="213"/>
      <w:r>
        <w:rPr>
          <w:rFonts w:ascii="Times New Roman" w:hAnsi="Times New Roman" w:eastAsia="Times New Roman" w:cs="Times New Roman"/>
          <w:sz w:val="24"/>
          <w:szCs w:val="24"/>
        </w:rPr>
      </w:r>
      <w:bookmarkEnd w:id="214"/>
      <w:r>
        <w:rPr>
          <w:rFonts w:ascii="Times New Roman" w:hAnsi="Times New Roman" w:eastAsia="Times New Roman" w:cs="Times New Roman"/>
          <w:sz w:val="24"/>
          <w:szCs w:val="24"/>
        </w:rPr>
      </w:r>
      <w:bookmarkEnd w:id="215"/>
      <w:r>
        <w:rPr>
          <w:rFonts w:ascii="Times New Roman" w:hAnsi="Times New Roman" w:eastAsia="Times New Roman" w:cs="Times New Roman"/>
          <w:sz w:val="24"/>
          <w:szCs w:val="24"/>
        </w:rPr>
      </w:r>
      <w:bookmarkEnd w:id="216"/>
      <w:r>
        <w:rPr>
          <w:rFonts w:ascii="Times New Roman" w:hAnsi="Times New Roman" w:eastAsia="Times New Roman" w:cs="Times New Roman"/>
          <w:sz w:val="24"/>
          <w:szCs w:val="24"/>
        </w:rPr>
      </w:r>
      <w:bookmarkEnd w:id="217"/>
      <w:r>
        <w:rPr>
          <w:rFonts w:ascii="Times New Roman" w:hAnsi="Times New Roman" w:eastAsia="Times New Roman" w:cs="Times New Roman"/>
          <w:sz w:val="24"/>
          <w:szCs w:val="24"/>
        </w:rPr>
      </w:r>
      <w:bookmarkEnd w:id="218"/>
      <w:r>
        <w:rPr>
          <w:rFonts w:ascii="Times New Roman" w:hAnsi="Times New Roman" w:eastAsia="Times New Roman" w:cs="Times New Roman"/>
          <w:sz w:val="24"/>
          <w:szCs w:val="24"/>
        </w:rPr>
      </w:r>
      <w:bookmarkEnd w:id="396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7" w:name="_Toc40"/>
      <w:r>
        <w:rPr>
          <w:rFonts w:ascii="Times New Roman" w:hAnsi="Times New Roman" w:eastAsia="Times New Roman" w:cs="Times New Roman"/>
          <w:sz w:val="24"/>
          <w:szCs w:val="24"/>
        </w:rPr>
        <w:t xml:space="preserve">Пояснения к Техническим требованиям</w:t>
      </w:r>
      <w:bookmarkEnd w:id="397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Технические требования к закупаемой продукции приведены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отдельном файле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предоставляются отдельным документом в составе Документации о 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являющимся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Приложени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 к Документации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8" w:name="_Toc41"/>
      <w:r>
        <w:rPr>
          <w:rFonts w:ascii="Times New Roman" w:hAnsi="Times New Roman" w:eastAsia="Times New Roman" w:cs="Times New Roman"/>
          <w:sz w:val="24"/>
          <w:szCs w:val="24"/>
        </w:rPr>
      </w:r>
      <w:bookmarkStart w:id="221" w:name="_Ref125361746"/>
      <w:r>
        <w:rPr>
          <w:rFonts w:ascii="Times New Roman" w:hAnsi="Times New Roman" w:eastAsia="Times New Roman" w:cs="Times New Roman"/>
          <w:sz w:val="24"/>
          <w:szCs w:val="24"/>
        </w:rPr>
      </w:r>
      <w:bookmarkStart w:id="222" w:name="_Ref125363040"/>
      <w:r>
        <w:rPr>
          <w:rFonts w:ascii="Times New Roman" w:hAnsi="Times New Roman" w:eastAsia="Times New Roman" w:cs="Times New Roman"/>
          <w:sz w:val="24"/>
          <w:szCs w:val="24"/>
        </w:rPr>
      </w:r>
      <w:bookmarkStart w:id="223" w:name="_Ref125363605"/>
      <w:r>
        <w:rPr>
          <w:rFonts w:ascii="Times New Roman" w:hAnsi="Times New Roman" w:eastAsia="Times New Roman" w:cs="Times New Roman"/>
          <w:sz w:val="24"/>
          <w:szCs w:val="24"/>
        </w:rPr>
      </w:r>
      <w:bookmarkStart w:id="224" w:name="_Ref125363759"/>
      <w:r>
        <w:rPr>
          <w:rFonts w:ascii="Times New Roman" w:hAnsi="Times New Roman" w:eastAsia="Times New Roman" w:cs="Times New Roman"/>
          <w:sz w:val="24"/>
          <w:szCs w:val="24"/>
        </w:rPr>
      </w:r>
      <w:bookmarkStart w:id="225" w:name="_Ref125364081"/>
      <w:r>
        <w:rPr>
          <w:rFonts w:ascii="Times New Roman" w:hAnsi="Times New Roman" w:eastAsia="Times New Roman" w:cs="Times New Roman"/>
          <w:sz w:val="24"/>
          <w:szCs w:val="24"/>
        </w:rPr>
      </w:r>
      <w:bookmarkStart w:id="226" w:name="_Ref125364206"/>
      <w:r>
        <w:rPr>
          <w:rFonts w:ascii="Times New Roman" w:hAnsi="Times New Roman" w:eastAsia="Times New Roman" w:cs="Times New Roman"/>
          <w:sz w:val="24"/>
          <w:szCs w:val="24"/>
        </w:rPr>
      </w:r>
      <w:bookmarkStart w:id="227" w:name="_Ref125370754"/>
      <w:r>
        <w:rPr>
          <w:rFonts w:ascii="Times New Roman" w:hAnsi="Times New Roman" w:eastAsia="Times New Roman" w:cs="Times New Roman"/>
          <w:sz w:val="24"/>
          <w:szCs w:val="24"/>
        </w:rPr>
      </w:r>
      <w:bookmarkStart w:id="228" w:name="Прил02_ПроектДоговора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 2 – Проект договора</w:t>
      </w:r>
      <w:bookmarkEnd w:id="221"/>
      <w:r>
        <w:rPr>
          <w:rFonts w:ascii="Times New Roman" w:hAnsi="Times New Roman" w:eastAsia="Times New Roman" w:cs="Times New Roman"/>
          <w:sz w:val="24"/>
          <w:szCs w:val="24"/>
        </w:rPr>
      </w:r>
      <w:bookmarkEnd w:id="222"/>
      <w:r>
        <w:rPr>
          <w:rFonts w:ascii="Times New Roman" w:hAnsi="Times New Roman" w:eastAsia="Times New Roman" w:cs="Times New Roman"/>
          <w:sz w:val="24"/>
          <w:szCs w:val="24"/>
        </w:rPr>
      </w:r>
      <w:bookmarkEnd w:id="223"/>
      <w:r>
        <w:rPr>
          <w:rFonts w:ascii="Times New Roman" w:hAnsi="Times New Roman" w:eastAsia="Times New Roman" w:cs="Times New Roman"/>
          <w:sz w:val="24"/>
          <w:szCs w:val="24"/>
        </w:rPr>
      </w:r>
      <w:bookmarkEnd w:id="224"/>
      <w:r>
        <w:rPr>
          <w:rFonts w:ascii="Times New Roman" w:hAnsi="Times New Roman" w:eastAsia="Times New Roman" w:cs="Times New Roman"/>
          <w:sz w:val="24"/>
          <w:szCs w:val="24"/>
        </w:rPr>
      </w:r>
      <w:bookmarkEnd w:id="225"/>
      <w:r>
        <w:rPr>
          <w:rFonts w:ascii="Times New Roman" w:hAnsi="Times New Roman" w:eastAsia="Times New Roman" w:cs="Times New Roman"/>
          <w:sz w:val="24"/>
          <w:szCs w:val="24"/>
        </w:rPr>
      </w:r>
      <w:bookmarkEnd w:id="226"/>
      <w:r>
        <w:rPr>
          <w:rFonts w:ascii="Times New Roman" w:hAnsi="Times New Roman" w:eastAsia="Times New Roman" w:cs="Times New Roman"/>
          <w:sz w:val="24"/>
          <w:szCs w:val="24"/>
        </w:rPr>
      </w:r>
      <w:bookmarkEnd w:id="227"/>
      <w:r>
        <w:rPr>
          <w:rFonts w:ascii="Times New Roman" w:hAnsi="Times New Roman" w:eastAsia="Times New Roman" w:cs="Times New Roman"/>
          <w:sz w:val="24"/>
          <w:szCs w:val="24"/>
        </w:rPr>
      </w:r>
      <w:bookmarkEnd w:id="228"/>
      <w:r>
        <w:rPr>
          <w:rFonts w:ascii="Times New Roman" w:hAnsi="Times New Roman" w:eastAsia="Times New Roman" w:cs="Times New Roman"/>
          <w:sz w:val="24"/>
          <w:szCs w:val="24"/>
        </w:rPr>
      </w:r>
      <w:bookmarkEnd w:id="39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99" w:name="_Toc42"/>
      <w:r>
        <w:rPr>
          <w:rFonts w:ascii="Times New Roman" w:hAnsi="Times New Roman" w:eastAsia="Times New Roman" w:cs="Times New Roman"/>
          <w:sz w:val="24"/>
          <w:szCs w:val="24"/>
        </w:rPr>
        <w:t xml:space="preserve">Пояснения 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роекту договора</w:t>
      </w:r>
      <w:bookmarkEnd w:id="39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Проект договора, заключаемого по результатам закупки,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приведен в отдельном файле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предоставляется отдельным документом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составе Документации о 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являющимся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 к Документации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Все положения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роекта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оговора являются существенными условиями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Заказчика, за исключением пунктов договора, указанных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подразделе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_Ref132876309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как «Некритичные пункты Проекта договора»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 пунктом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_Ref49437111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5.2.11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носящие принципиального характера) изменения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Договору.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сли Стороны не придут к соглашению об этих изменениях, они будут обязаны подписать Договор на условиях, изложенных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Документации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Одновременно с подписанием Сторонами Договора или не позднее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рабочих дней после подписания Договора, Сторонами должно быть подписано дополнительное соглашение,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форма которого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приведена 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отдельном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файле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формате Microsoft Word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(предоставляется отдельным документом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составе Документации о закупке)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касающееся вопросов подтверждения Участником информации о цепочке собственников, включая бенефициаров (в том числе конечных)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231" w:name="_MON_1736255517"/>
      <w:r>
        <w:rPr>
          <w:rFonts w:ascii="Times New Roman" w:hAnsi="Times New Roman" w:eastAsia="Times New Roman" w:cs="Times New Roman"/>
          <w:sz w:val="24"/>
          <w:szCs w:val="24"/>
        </w:rPr>
      </w:r>
      <w:bookmarkEnd w:id="231"/>
      <w:r>
        <w:rPr>
          <w:rFonts w:ascii="Times New Roman" w:hAnsi="Times New Roman" w:eastAsia="Times New Roman" w:cs="Times New Roman"/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90600" cy="638175"/>
                <wp:effectExtent l="0" t="0" r="0" b="0"/>
                <wp:docPr id="1" name="_x0000_i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8">
                          <a:extLst>
                            <a:ext uri="{96DAC541-7B7A-43D3-8B79-37D633B846F1}">
                              <asvg:svgBlip xmlns:asvg="http://schemas.microsoft.com/office/drawing/2016/SVG/main" r:embed="rId19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9060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78.00pt;height:50.25pt;mso-wrap-distance-left:0.00pt;mso-wrap-distance-top:0.00pt;mso-wrap-distance-right:0.00pt;mso-wrap-distance-bottom:0.00pt;" stroked="f">
                <v:path textboxrect="0,0,0,0"/>
                <v:imagedata r:id="rId18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0" w:name="_Toc43"/>
      <w:r>
        <w:rPr>
          <w:rFonts w:ascii="Times New Roman" w:hAnsi="Times New Roman" w:eastAsia="Times New Roman" w:cs="Times New Roman"/>
          <w:sz w:val="24"/>
          <w:szCs w:val="24"/>
        </w:rPr>
      </w:r>
      <w:bookmarkStart w:id="232" w:name="_Ref125361494"/>
      <w:r>
        <w:rPr>
          <w:rFonts w:ascii="Times New Roman" w:hAnsi="Times New Roman" w:eastAsia="Times New Roman" w:cs="Times New Roman"/>
          <w:sz w:val="24"/>
          <w:szCs w:val="24"/>
        </w:rPr>
      </w:r>
      <w:bookmarkStart w:id="233" w:name="_Ref125361908"/>
      <w:r>
        <w:rPr>
          <w:rFonts w:ascii="Times New Roman" w:hAnsi="Times New Roman" w:eastAsia="Times New Roman" w:cs="Times New Roman"/>
          <w:sz w:val="24"/>
          <w:szCs w:val="24"/>
        </w:rPr>
      </w:r>
      <w:bookmarkStart w:id="234" w:name="_Ref125365476"/>
      <w:r>
        <w:rPr>
          <w:rFonts w:ascii="Times New Roman" w:hAnsi="Times New Roman" w:eastAsia="Times New Roman" w:cs="Times New Roman"/>
          <w:sz w:val="24"/>
          <w:szCs w:val="24"/>
        </w:rPr>
      </w:r>
      <w:bookmarkStart w:id="235" w:name="_Ref125370013"/>
      <w:r>
        <w:rPr>
          <w:rFonts w:ascii="Times New Roman" w:hAnsi="Times New Roman" w:eastAsia="Times New Roman" w:cs="Times New Roman"/>
          <w:sz w:val="24"/>
          <w:szCs w:val="24"/>
        </w:rPr>
      </w:r>
      <w:bookmarkStart w:id="236" w:name="Прил03_ТребованияУчастникам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 – Требования 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частникам</w:t>
      </w:r>
      <w:bookmarkEnd w:id="232"/>
      <w:r>
        <w:rPr>
          <w:rFonts w:ascii="Times New Roman" w:hAnsi="Times New Roman" w:eastAsia="Times New Roman" w:cs="Times New Roman"/>
          <w:sz w:val="24"/>
          <w:szCs w:val="24"/>
        </w:rPr>
      </w:r>
      <w:bookmarkEnd w:id="233"/>
      <w:r>
        <w:rPr>
          <w:rFonts w:ascii="Times New Roman" w:hAnsi="Times New Roman" w:eastAsia="Times New Roman" w:cs="Times New Roman"/>
          <w:sz w:val="24"/>
          <w:szCs w:val="24"/>
        </w:rPr>
      </w:r>
      <w:bookmarkEnd w:id="234"/>
      <w:r>
        <w:rPr>
          <w:rFonts w:ascii="Times New Roman" w:hAnsi="Times New Roman" w:eastAsia="Times New Roman" w:cs="Times New Roman"/>
          <w:sz w:val="24"/>
          <w:szCs w:val="24"/>
        </w:rPr>
      </w:r>
      <w:bookmarkEnd w:id="235"/>
      <w:r>
        <w:rPr>
          <w:rFonts w:ascii="Times New Roman" w:hAnsi="Times New Roman" w:eastAsia="Times New Roman" w:cs="Times New Roman"/>
          <w:sz w:val="24"/>
          <w:szCs w:val="24"/>
        </w:rPr>
      </w:r>
      <w:bookmarkEnd w:id="236"/>
      <w:r>
        <w:rPr>
          <w:rFonts w:ascii="Times New Roman" w:hAnsi="Times New Roman" w:eastAsia="Times New Roman" w:cs="Times New Roman"/>
          <w:sz w:val="24"/>
          <w:szCs w:val="24"/>
        </w:rPr>
      </w:r>
      <w:bookmarkEnd w:id="40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1" w:name="_Toc44"/>
      <w:r>
        <w:rPr>
          <w:rFonts w:ascii="Times New Roman" w:hAnsi="Times New Roman" w:eastAsia="Times New Roman" w:cs="Times New Roman"/>
          <w:sz w:val="24"/>
          <w:szCs w:val="24"/>
        </w:rPr>
        <w:t xml:space="preserve">Пояснения 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требованиям 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частникам</w:t>
      </w:r>
      <w:bookmarkEnd w:id="40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239" w:name="_Hlk125628168"/>
      <w:r>
        <w:rPr>
          <w:rFonts w:ascii="Times New Roman" w:hAnsi="Times New Roman" w:eastAsia="Times New Roman" w:cs="Times New Roman"/>
          <w:sz w:val="24"/>
          <w:szCs w:val="24"/>
        </w:rPr>
        <w:t xml:space="preserve">Чтобы претендовать на победу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закупке и получение права заключить Договор с Заказчиком, Участник самостоятельно должен отвечать нижеуказанным требованиям и включить в состав заявки документы, подтверждающие его соответствие установленным требованиям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bookmarkEnd w:id="23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2" w:name="_Toc45"/>
      <w:r>
        <w:rPr>
          <w:rFonts w:ascii="Times New Roman" w:hAnsi="Times New Roman" w:eastAsia="Times New Roman" w:cs="Times New Roman"/>
          <w:sz w:val="24"/>
          <w:szCs w:val="24"/>
        </w:rPr>
      </w:r>
      <w:bookmarkStart w:id="240" w:name="_Ref125361435"/>
      <w:r>
        <w:rPr>
          <w:rFonts w:ascii="Times New Roman" w:hAnsi="Times New Roman" w:eastAsia="Times New Roman" w:cs="Times New Roman"/>
          <w:sz w:val="24"/>
          <w:szCs w:val="24"/>
        </w:rPr>
      </w:r>
      <w:bookmarkStart w:id="241" w:name="_Ref125361590"/>
      <w:r>
        <w:rPr>
          <w:rFonts w:ascii="Times New Roman" w:hAnsi="Times New Roman" w:eastAsia="Times New Roman" w:cs="Times New Roman"/>
          <w:sz w:val="24"/>
          <w:szCs w:val="24"/>
        </w:rPr>
      </w:r>
      <w:bookmarkStart w:id="242" w:name="_Ref125361617"/>
      <w:r>
        <w:rPr>
          <w:rFonts w:ascii="Times New Roman" w:hAnsi="Times New Roman" w:eastAsia="Times New Roman" w:cs="Times New Roman"/>
          <w:sz w:val="24"/>
          <w:szCs w:val="24"/>
        </w:rPr>
      </w:r>
      <w:bookmarkStart w:id="243" w:name="_Ref125361832"/>
      <w:r>
        <w:rPr>
          <w:rFonts w:ascii="Times New Roman" w:hAnsi="Times New Roman" w:eastAsia="Times New Roman" w:cs="Times New Roman"/>
          <w:sz w:val="24"/>
          <w:szCs w:val="24"/>
        </w:rPr>
      </w:r>
      <w:bookmarkStart w:id="244" w:name="_Ref125361846"/>
      <w:r>
        <w:rPr>
          <w:rFonts w:ascii="Times New Roman" w:hAnsi="Times New Roman" w:eastAsia="Times New Roman" w:cs="Times New Roman"/>
          <w:sz w:val="24"/>
          <w:szCs w:val="24"/>
        </w:rPr>
      </w:r>
      <w:bookmarkStart w:id="245" w:name="_Ref125361926"/>
      <w:r>
        <w:rPr>
          <w:rFonts w:ascii="Times New Roman" w:hAnsi="Times New Roman" w:eastAsia="Times New Roman" w:cs="Times New Roman"/>
          <w:sz w:val="24"/>
          <w:szCs w:val="24"/>
        </w:rPr>
      </w:r>
      <w:bookmarkStart w:id="246" w:name="_Ref125366879"/>
      <w:r>
        <w:rPr>
          <w:rFonts w:ascii="Times New Roman" w:hAnsi="Times New Roman" w:eastAsia="Times New Roman" w:cs="Times New Roman"/>
          <w:sz w:val="24"/>
          <w:szCs w:val="24"/>
        </w:rPr>
      </w:r>
      <w:bookmarkStart w:id="247" w:name="_Ref125368812"/>
      <w:r>
        <w:rPr>
          <w:rFonts w:ascii="Times New Roman" w:hAnsi="Times New Roman" w:eastAsia="Times New Roman" w:cs="Times New Roman"/>
          <w:sz w:val="24"/>
          <w:szCs w:val="24"/>
        </w:rPr>
      </w:r>
      <w:bookmarkStart w:id="248" w:name="_Ref125368895"/>
      <w:r>
        <w:rPr>
          <w:rFonts w:ascii="Times New Roman" w:hAnsi="Times New Roman" w:eastAsia="Times New Roman" w:cs="Times New Roman"/>
          <w:sz w:val="24"/>
          <w:szCs w:val="24"/>
        </w:rPr>
      </w:r>
      <w:bookmarkStart w:id="249" w:name="_Ref125369088"/>
      <w:r>
        <w:rPr>
          <w:rFonts w:ascii="Times New Roman" w:hAnsi="Times New Roman" w:eastAsia="Times New Roman" w:cs="Times New Roman"/>
          <w:sz w:val="24"/>
          <w:szCs w:val="24"/>
        </w:rPr>
      </w:r>
      <w:bookmarkStart w:id="250" w:name="_Ref125370058"/>
      <w:r>
        <w:rPr>
          <w:rFonts w:ascii="Times New Roman" w:hAnsi="Times New Roman" w:eastAsia="Times New Roman" w:cs="Times New Roman"/>
          <w:sz w:val="24"/>
          <w:szCs w:val="24"/>
        </w:rPr>
      </w:r>
      <w:bookmarkStart w:id="251" w:name="_Ref125370064"/>
      <w:r>
        <w:rPr>
          <w:rFonts w:ascii="Times New Roman" w:hAnsi="Times New Roman" w:eastAsia="Times New Roman" w:cs="Times New Roman"/>
          <w:sz w:val="24"/>
          <w:szCs w:val="24"/>
        </w:rPr>
      </w:r>
      <w:bookmarkStart w:id="252" w:name="_Ref125370071"/>
      <w:r>
        <w:rPr>
          <w:rFonts w:ascii="Times New Roman" w:hAnsi="Times New Roman" w:eastAsia="Times New Roman" w:cs="Times New Roman"/>
          <w:sz w:val="24"/>
          <w:szCs w:val="24"/>
        </w:rPr>
        <w:t xml:space="preserve">Обязательные требования</w:t>
      </w:r>
      <w:bookmarkEnd w:id="240"/>
      <w:r>
        <w:rPr>
          <w:rFonts w:ascii="Times New Roman" w:hAnsi="Times New Roman" w:eastAsia="Times New Roman" w:cs="Times New Roman"/>
          <w:sz w:val="24"/>
          <w:szCs w:val="24"/>
        </w:rPr>
      </w:r>
      <w:bookmarkEnd w:id="241"/>
      <w:r>
        <w:rPr>
          <w:rFonts w:ascii="Times New Roman" w:hAnsi="Times New Roman" w:eastAsia="Times New Roman" w:cs="Times New Roman"/>
          <w:sz w:val="24"/>
          <w:szCs w:val="24"/>
        </w:rPr>
      </w:r>
      <w:bookmarkEnd w:id="242"/>
      <w:r>
        <w:rPr>
          <w:rFonts w:ascii="Times New Roman" w:hAnsi="Times New Roman" w:eastAsia="Times New Roman" w:cs="Times New Roman"/>
          <w:sz w:val="24"/>
          <w:szCs w:val="24"/>
        </w:rPr>
      </w:r>
      <w:bookmarkEnd w:id="243"/>
      <w:r>
        <w:rPr>
          <w:rFonts w:ascii="Times New Roman" w:hAnsi="Times New Roman" w:eastAsia="Times New Roman" w:cs="Times New Roman"/>
          <w:sz w:val="24"/>
          <w:szCs w:val="24"/>
        </w:rPr>
      </w:r>
      <w:bookmarkEnd w:id="244"/>
      <w:r>
        <w:rPr>
          <w:rFonts w:ascii="Times New Roman" w:hAnsi="Times New Roman" w:eastAsia="Times New Roman" w:cs="Times New Roman"/>
          <w:sz w:val="24"/>
          <w:szCs w:val="24"/>
        </w:rPr>
      </w:r>
      <w:bookmarkEnd w:id="245"/>
      <w:r>
        <w:rPr>
          <w:rFonts w:ascii="Times New Roman" w:hAnsi="Times New Roman" w:eastAsia="Times New Roman" w:cs="Times New Roman"/>
          <w:sz w:val="24"/>
          <w:szCs w:val="24"/>
        </w:rPr>
      </w:r>
      <w:bookmarkEnd w:id="246"/>
      <w:r>
        <w:rPr>
          <w:rFonts w:ascii="Times New Roman" w:hAnsi="Times New Roman" w:eastAsia="Times New Roman" w:cs="Times New Roman"/>
          <w:sz w:val="24"/>
          <w:szCs w:val="24"/>
        </w:rPr>
      </w:r>
      <w:bookmarkEnd w:id="247"/>
      <w:r>
        <w:rPr>
          <w:rFonts w:ascii="Times New Roman" w:hAnsi="Times New Roman" w:eastAsia="Times New Roman" w:cs="Times New Roman"/>
          <w:sz w:val="24"/>
          <w:szCs w:val="24"/>
        </w:rPr>
      </w:r>
      <w:bookmarkEnd w:id="248"/>
      <w:r>
        <w:rPr>
          <w:rFonts w:ascii="Times New Roman" w:hAnsi="Times New Roman" w:eastAsia="Times New Roman" w:cs="Times New Roman"/>
          <w:sz w:val="24"/>
          <w:szCs w:val="24"/>
        </w:rPr>
      </w:r>
      <w:bookmarkEnd w:id="249"/>
      <w:r>
        <w:rPr>
          <w:rFonts w:ascii="Times New Roman" w:hAnsi="Times New Roman" w:eastAsia="Times New Roman" w:cs="Times New Roman"/>
          <w:sz w:val="24"/>
          <w:szCs w:val="24"/>
        </w:rPr>
      </w:r>
      <w:bookmarkEnd w:id="250"/>
      <w:r>
        <w:rPr>
          <w:rFonts w:ascii="Times New Roman" w:hAnsi="Times New Roman" w:eastAsia="Times New Roman" w:cs="Times New Roman"/>
          <w:sz w:val="24"/>
          <w:szCs w:val="24"/>
        </w:rPr>
      </w:r>
      <w:bookmarkEnd w:id="251"/>
      <w:r>
        <w:rPr>
          <w:rFonts w:ascii="Times New Roman" w:hAnsi="Times New Roman" w:eastAsia="Times New Roman" w:cs="Times New Roman"/>
          <w:sz w:val="24"/>
          <w:szCs w:val="24"/>
        </w:rPr>
      </w:r>
      <w:bookmarkEnd w:id="252"/>
      <w:r>
        <w:rPr>
          <w:rFonts w:ascii="Times New Roman" w:hAnsi="Times New Roman" w:eastAsia="Times New Roman" w:cs="Times New Roman"/>
          <w:sz w:val="24"/>
          <w:szCs w:val="24"/>
        </w:rPr>
      </w:r>
      <w:bookmarkEnd w:id="402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1170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9"/>
              <w:jc w:val="center"/>
              <w:keepNext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49"/>
              <w:jc w:val="center"/>
              <w:keepNext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 к Участник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9"/>
              <w:jc w:val="center"/>
              <w:keepNext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 к документам,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подтверждающим соответствие Участника установленным 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3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54" w:name="_Ref125552433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54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 должен обладать гражданской правоспособностью в полном объеме для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заключения и исполнения Договора, 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также должен обладать статусом «аккредитован»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соответствии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Положением об аккредитации, либо являться лицом, указанным в пункте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3.11 Положения об аккредитации: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22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отношении гражданской правоспособности: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numPr>
                <w:ilvl w:val="0"/>
                <w:numId w:val="23"/>
              </w:numPr>
              <w:ind w:left="568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заявка подписывается лицом, действующим на основании доверенности, предоставляется электронный образ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(файл в формате *.pdf)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оригинала соответствующей доверенности либо ее нотариально заверенной копии (с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указанием правомочий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подписание заявки);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numPr>
                <w:ilvl w:val="0"/>
                <w:numId w:val="22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отношении аккредитации: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numPr>
                <w:ilvl w:val="0"/>
                <w:numId w:val="23"/>
              </w:numPr>
              <w:ind w:left="568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наличи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ранее направленными сведениями для включения записи в Реестр аккредитации), и при отсутствии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 момента подачи им Заявки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изменений, оказывающих влияние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его критериям аккредитации (на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текущий статус), 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аккредитацию 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 аккредитацию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требуется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numPr>
                <w:ilvl w:val="0"/>
                <w:numId w:val="23"/>
              </w:numPr>
              <w:ind w:left="568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 наличии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ранее направленными сведениями для включения записи в Реестр аккредитации), и при наличии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момента подачи Заявки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изменений, оказывающих влияние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его критериям аккредитации (на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текущий статус), 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аккредитацию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декларация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составе Письма о подаче оферты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обновленная Заявка на аккредитацию по установленной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 форме 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</w:t>
              </w:r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 </w:t>
              </w:r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1</w:t>
              </w:r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0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numPr>
                <w:ilvl w:val="0"/>
                <w:numId w:val="23"/>
              </w:numPr>
              <w:ind w:left="568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 отсутствии у Участника на момент подачи заявки статуса «аккредитован»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 условии, что Участник ранее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направил Заявку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аккредитацию, но на момент подачи заявки на участие в текущей закупке результаты проверки еще не известны (отсутствует соответствующая запись в Реестре аккредитации)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декларация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составе Письма о подаче оферты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numPr>
                <w:ilvl w:val="0"/>
                <w:numId w:val="23"/>
              </w:numPr>
              <w:ind w:left="568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 отсутствии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 Участника на момент подачи заявки статуса «аккредитован» (не проходил ранее процедуру аккредитации) или наличия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 Участника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статуса «не аккредитован» (по результатам ранее пройденной процедуры аккредитации), а также для лиц, указанных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пункте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3.11 Положения об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аккредитации (аккредитация не требуется), но которые ранее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направляли соответствующие сведения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включения записи в Реестр аккредитации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Заявка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аккредитацию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установленной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 форме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10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ind w:left="28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случае заинтересованности Участника в дополнительной оценке его финансового состояния, при условии отсутствия опубликованной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государственном информационном ресурсе бухгалтерской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(финансовой) отчетности организаций (https://bo.nalog.ru), к Заявке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аккредитацию также прилагается электронная копия бухгалтерского баланса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ОКУД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0710001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отчета о финансовых результатах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ОКУД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0710002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 последний завершенный финансовый год,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отметкой налогового органа о приеме или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приложением квитанции о приеме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(или) извещения о вводе сведений налоговым органом.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49"/>
              <w:ind w:left="28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сли Участник в соответствии с законодательством формирует отчетность по формам ОКУД 0503730, 0503721 (и (или) освобожден от предоставления дополнительного экземпляра отчетности для размещения на официальном сайте ФНС России) – оценка его финансового состоя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ния производится на основании представленных вместе с Заявкой на аккредитацию: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49"/>
              <w:ind w:left="284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−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электронной копии бухгалтерской (финансовой) отчетности по формам ОКУД 0503730, 0503721 за последний завершенный и предшествующий ему финансовый год, с отметкой налогового органа о приеме или с приложением квитанции о приеме и (или) извещения о вводе свед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ений налоговым органом;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pStyle w:val="1149"/>
              <w:ind w:left="284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−</w:t>
              <w:tab/>
              <w:t xml:space="preserve">дополнительных сведений о размере всех требуемых показателей согласно данным бухгалтерской (финансовой) отчетности по установленной форме (Приложение № 5 к Положению об аккредитации).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pStyle w:val="1149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Указанные документы не являются обязательными к подаче в рамках процедуры аккредитации и предоставляются по желанию Участника.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3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55" w:name="_Ref132893662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55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 должен являться субъектом МСП, или физическим лицом, не являющимся индивидуальным предпринимателем и применяющим специальный налоговый режим «Налог на профессиональный доход»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Декларация о соответствии Участника данному требованию в составе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составе Письма о подаче оферты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В рамках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рассмотрения заявок Организатор проверяет наличие информации об Участнике в Реестре МСП, а в отношении физических лиц, не являющихся индивидуальными предпринимателями и применяющих специальный налоговый режим «Налог на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профессиональный доход», наличие информации на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официальном сайте федерального органа исполнительной власти, уполномоченного по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контролю и надзору в области налогов и сборов, о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применении ими такого налогового режима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3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56" w:name="_Ref139029906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56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Сведения об Участнике должны отсутствовать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перечне юридических лиц,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отношении которых применяются специальные экономические меры, утвержденном Постановлением Правительства Российской Федерации 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11.05.2022 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851</w:t>
            </w:r>
            <w:r>
              <w:rPr>
                <w:rStyle w:val="1157"/>
                <w:rFonts w:ascii="Times New Roman" w:hAnsi="Times New Roman" w:eastAsia="Times New Roman" w:cs="Times New Roman"/>
                <w:sz w:val="24"/>
                <w:szCs w:val="24"/>
              </w:rPr>
              <w:footnoteReference w:id="12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а также Участник 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должен являться подконтрольной организацией данных юридических лиц</w:t>
            </w:r>
            <w:r>
              <w:rPr>
                <w:rStyle w:val="1157"/>
                <w:rFonts w:ascii="Times New Roman" w:hAnsi="Times New Roman" w:eastAsia="Times New Roman" w:cs="Times New Roman"/>
                <w:sz w:val="24"/>
                <w:szCs w:val="24"/>
              </w:rPr>
              <w:footnoteReference w:id="13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Предоставление документов не требуется.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(В рамках рассмотрения заявок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(или) перед заключением договора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Организатор проверяет наличие информации об Участнике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851 «О мерах по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реализации Указа Президента Российской Федерации от 3 мая 2022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г. N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252».)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3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57" w:name="_Ref186220330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57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в подразделе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_Ref125359973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установлен режим запрета закупки иностранной продукции и предметом закупки является оказание услуг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(или) выполнение работ (в том числе с поставкой товаров при выполнении закупаемых работ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(или) оказании закупаемых услуг), то Участник должен быть российским лицом: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Декларация о соответствии Участника данному требованию в составе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Письма о подаче оферты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3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58" w:name="_Ref186220335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58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в подразделе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_Ref125359973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установлен режим ограничения закупки иностранной продукции или режим преимущества российской продукции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предметом закупки является оказание услуг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(или) выполнение работ (в том числе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поставкой товаров при выполнении закупаемых работ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(или) оказании закупаемых услуг), то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 должен указать свою принадлежность – Участник является иностранным лицом или российским лицом: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Декларация о принадлежности Участника к иностранному лицу или российскому лицу в составе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Письма о подаче оферты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</w:tr>
    </w:tbl>
    <w:p>
      <w:pPr>
        <w:pStyle w:val="1144"/>
        <w:spacing w:after="120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403" w:name="_Toc46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59" w:name="_Ref125361442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0" w:name="_Ref125361633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1" w:name="_Ref125361671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2" w:name="_Ref125361869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3" w:name="_Ref125361937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4" w:name="_Ref125365459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5" w:name="_Ref125367521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6" w:name="_Ref125367539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7" w:name="_Ref125368818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8" w:name="_Ref125368901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69" w:name="_Ref125368916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70" w:name="_Ref125369099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71" w:name="_Ref125370079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72" w:name="_Ref125709153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73" w:name="_Ref125709250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74" w:name="_Ref125709401"/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bookmarkStart w:id="275" w:name="_Ref125709888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Специальные требования</w:t>
      </w:r>
      <w:bookmarkEnd w:id="259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60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61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62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63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64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65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66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67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68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69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70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71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72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73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74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275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bookmarkEnd w:id="403"/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</w:p>
    <w:tbl>
      <w:tblPr>
        <w:tblStyle w:val="1170"/>
        <w:tblW w:w="0" w:type="auto"/>
        <w:tblLayout w:type="fixed"/>
        <w:tblLook w:val="04A0" w:firstRow="1" w:lastRow="0" w:firstColumn="1" w:lastColumn="0" w:noHBand="0" w:noVBand="1"/>
      </w:tblPr>
      <w:tblGrid>
        <w:gridCol w:w="1133"/>
        <w:gridCol w:w="5666"/>
        <w:gridCol w:w="8327"/>
      </w:tblGrid>
      <w:tr>
        <w:tblPrEx/>
        <w:trPr/>
        <w:tc>
          <w:tcPr>
            <w:tcW w:w="1133" w:type="dxa"/>
            <w:textDirection w:val="lrTb"/>
            <w:noWrap w:val="false"/>
          </w:tcPr>
          <w:p>
            <w:pPr>
              <w:pStyle w:val="1149"/>
              <w:jc w:val="center"/>
              <w:keepNext w:val="0"/>
              <w:spacing w:before="0" w:beforeAutospacing="0" w:after="0" w:afterAutospacing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br/>
              <w:t xml:space="preserve">п/п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  <w:tc>
          <w:tcPr>
            <w:tcW w:w="5666" w:type="dxa"/>
            <w:textDirection w:val="lrTb"/>
            <w:noWrap w:val="false"/>
          </w:tcPr>
          <w:p>
            <w:pPr>
              <w:pStyle w:val="1149"/>
              <w:jc w:val="center"/>
              <w:keepNext w:val="0"/>
              <w:spacing w:before="0" w:beforeAutospacing="0" w:after="0" w:afterAutospacing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Требования к Участник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9"/>
              <w:jc w:val="center"/>
              <w:keepNext w:val="0"/>
              <w:spacing w:before="0" w:beforeAutospacing="0" w:after="0" w:afterAutospacing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Требования к документам,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подтверждающим соответствие Участника установленным требованиям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</w:tr>
      <w:tr>
        <w:tblPrEx/>
        <w:trPr/>
        <w:tc>
          <w:tcPr>
            <w:tcW w:w="1133" w:type="dxa"/>
            <w:textDirection w:val="lrTb"/>
            <w:noWrap w:val="false"/>
          </w:tcPr>
          <w:p>
            <w:pPr>
              <w:spacing w:before="0" w:beforeAutospacing="0" w:after="0" w:afterAutospacing="0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</w:tc>
        <w:tc>
          <w:tcPr>
            <w:tcW w:w="5666" w:type="dxa"/>
            <w:textDirection w:val="lrTb"/>
            <w:noWrap w:val="false"/>
          </w:tcPr>
          <w:p>
            <w:r>
              <w:rPr>
                <w:sz w:val="24"/>
                <w:szCs w:val="24"/>
              </w:rPr>
              <w:t xml:space="preserve">Специальные требования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r>
              <w:rPr>
                <w:sz w:val="24"/>
                <w:szCs w:val="24"/>
              </w:rPr>
              <w:t xml:space="preserve">Специальные требования не установлены.</w:t>
            </w:r>
            <w:r/>
          </w:p>
        </w:tc>
      </w:tr>
    </w:tbl>
    <w:p>
      <w:pPr>
        <w:pStyle w:val="1144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4" w:name="_Toc47"/>
      <w:r>
        <w:rPr>
          <w:rFonts w:ascii="Times New Roman" w:hAnsi="Times New Roman" w:eastAsia="Times New Roman" w:cs="Times New Roman"/>
          <w:sz w:val="24"/>
          <w:szCs w:val="24"/>
        </w:rPr>
      </w:r>
      <w:bookmarkStart w:id="290" w:name="_Ref125361823"/>
      <w:r>
        <w:rPr>
          <w:rFonts w:ascii="Times New Roman" w:hAnsi="Times New Roman" w:eastAsia="Times New Roman" w:cs="Times New Roman"/>
          <w:sz w:val="24"/>
          <w:szCs w:val="24"/>
        </w:rPr>
      </w:r>
      <w:bookmarkStart w:id="291" w:name="_Ref125362031"/>
      <w:r>
        <w:rPr>
          <w:rFonts w:ascii="Times New Roman" w:hAnsi="Times New Roman" w:eastAsia="Times New Roman" w:cs="Times New Roman"/>
          <w:sz w:val="24"/>
          <w:szCs w:val="24"/>
        </w:rPr>
      </w:r>
      <w:bookmarkStart w:id="292" w:name="_Ref125369117"/>
      <w:r>
        <w:rPr>
          <w:rFonts w:ascii="Times New Roman" w:hAnsi="Times New Roman" w:eastAsia="Times New Roman" w:cs="Times New Roman"/>
          <w:sz w:val="24"/>
          <w:szCs w:val="24"/>
        </w:rPr>
      </w:r>
      <w:bookmarkStart w:id="293" w:name="_Ref125370173"/>
      <w:r>
        <w:rPr>
          <w:rFonts w:ascii="Times New Roman" w:hAnsi="Times New Roman" w:eastAsia="Times New Roman" w:cs="Times New Roman"/>
          <w:sz w:val="24"/>
          <w:szCs w:val="24"/>
        </w:rPr>
      </w:r>
      <w:bookmarkStart w:id="294" w:name="_Ref125370180"/>
      <w:r>
        <w:rPr>
          <w:rFonts w:ascii="Times New Roman" w:hAnsi="Times New Roman" w:eastAsia="Times New Roman" w:cs="Times New Roman"/>
          <w:sz w:val="24"/>
          <w:szCs w:val="24"/>
        </w:rPr>
      </w:r>
      <w:bookmarkStart w:id="295" w:name="_Ref125370209"/>
      <w:r>
        <w:rPr>
          <w:rFonts w:ascii="Times New Roman" w:hAnsi="Times New Roman" w:eastAsia="Times New Roman" w:cs="Times New Roman"/>
          <w:sz w:val="24"/>
          <w:szCs w:val="24"/>
        </w:rPr>
      </w:r>
      <w:bookmarkStart w:id="296" w:name="_Ref125709777"/>
      <w:r>
        <w:rPr>
          <w:rFonts w:ascii="Times New Roman" w:hAnsi="Times New Roman" w:eastAsia="Times New Roman" w:cs="Times New Roman"/>
          <w:sz w:val="24"/>
          <w:szCs w:val="24"/>
        </w:rPr>
      </w:r>
      <w:bookmarkStart w:id="297" w:name="_Ref125709973"/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Дополнительные 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ребования к Генеральным подрядчикам</w:t>
      </w:r>
      <w:bookmarkEnd w:id="290"/>
      <w:r>
        <w:rPr>
          <w:rFonts w:ascii="Times New Roman" w:hAnsi="Times New Roman" w:eastAsia="Times New Roman" w:cs="Times New Roman"/>
          <w:sz w:val="24"/>
          <w:szCs w:val="24"/>
        </w:rPr>
      </w:r>
      <w:bookmarkEnd w:id="291"/>
      <w:r>
        <w:rPr>
          <w:rFonts w:ascii="Times New Roman" w:hAnsi="Times New Roman" w:eastAsia="Times New Roman" w:cs="Times New Roman"/>
          <w:sz w:val="24"/>
          <w:szCs w:val="24"/>
        </w:rPr>
      </w:r>
      <w:bookmarkEnd w:id="292"/>
      <w:r>
        <w:rPr>
          <w:rFonts w:ascii="Times New Roman" w:hAnsi="Times New Roman" w:eastAsia="Times New Roman" w:cs="Times New Roman"/>
          <w:sz w:val="24"/>
          <w:szCs w:val="24"/>
        </w:rPr>
      </w:r>
      <w:bookmarkEnd w:id="293"/>
      <w:r>
        <w:rPr>
          <w:rFonts w:ascii="Times New Roman" w:hAnsi="Times New Roman" w:eastAsia="Times New Roman" w:cs="Times New Roman"/>
          <w:sz w:val="24"/>
          <w:szCs w:val="24"/>
        </w:rPr>
      </w:r>
      <w:bookmarkEnd w:id="294"/>
      <w:r>
        <w:rPr>
          <w:rFonts w:ascii="Times New Roman" w:hAnsi="Times New Roman" w:eastAsia="Times New Roman" w:cs="Times New Roman"/>
          <w:sz w:val="24"/>
          <w:szCs w:val="24"/>
        </w:rPr>
      </w:r>
      <w:bookmarkEnd w:id="295"/>
      <w:r>
        <w:rPr>
          <w:rFonts w:ascii="Times New Roman" w:hAnsi="Times New Roman" w:eastAsia="Times New Roman" w:cs="Times New Roman"/>
          <w:sz w:val="24"/>
          <w:szCs w:val="24"/>
        </w:rPr>
      </w:r>
      <w:bookmarkEnd w:id="296"/>
      <w:r>
        <w:rPr>
          <w:rFonts w:ascii="Times New Roman" w:hAnsi="Times New Roman" w:eastAsia="Times New Roman" w:cs="Times New Roman"/>
          <w:sz w:val="24"/>
          <w:szCs w:val="24"/>
        </w:rPr>
      </w:r>
      <w:bookmarkEnd w:id="297"/>
      <w:r>
        <w:rPr>
          <w:rFonts w:ascii="Times New Roman" w:hAnsi="Times New Roman" w:eastAsia="Times New Roman" w:cs="Times New Roman"/>
          <w:sz w:val="24"/>
          <w:szCs w:val="24"/>
        </w:rPr>
      </w:r>
      <w:bookmarkEnd w:id="40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1170"/>
        <w:tblW w:w="0" w:type="auto"/>
        <w:tblLayout w:type="fixed"/>
        <w:tblLook w:val="04A0" w:firstRow="1" w:lastRow="0" w:firstColumn="1" w:lastColumn="0" w:noHBand="0" w:noVBand="1"/>
      </w:tblPr>
      <w:tblGrid>
        <w:gridCol w:w="1133"/>
        <w:gridCol w:w="5666"/>
        <w:gridCol w:w="8327"/>
      </w:tblGrid>
      <w:tr>
        <w:tblPrEx/>
        <w:trPr/>
        <w:tc>
          <w:tcPr>
            <w:tcW w:w="1133" w:type="dxa"/>
            <w:textDirection w:val="lrTb"/>
            <w:noWrap w:val="false"/>
          </w:tcPr>
          <w:p>
            <w:pPr>
              <w:pStyle w:val="1149"/>
              <w:jc w:val="center"/>
              <w:keepNext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66" w:type="dxa"/>
            <w:textDirection w:val="lrTb"/>
            <w:noWrap w:val="false"/>
          </w:tcPr>
          <w:p>
            <w:pPr>
              <w:pStyle w:val="1149"/>
              <w:jc w:val="center"/>
              <w:keepNext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 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Генеральн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ому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подрядчику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9"/>
              <w:jc w:val="center"/>
              <w:keepNext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 к документам, подтверждающим соответствие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Генерального подрядчика установленным 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13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6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299" w:name="_Ref125370187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299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66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Заявка Генерального подрядчика дополнительно должна включать сведения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распределении объемов поставки продукции между Генеральным подрядчиком и субподрядчиками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(форма 4) (</w:t>
            </w:r>
            <w:hyperlink w:tooltip="#Прил04_ФормыЗаявки" w:anchor="Прил04_Формы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содержащие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План распределения объемов поставки продукции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13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6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00" w:name="_Ref125370193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00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66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каждого субподрядчика установленным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требованиям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 учетом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пункт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_Ref125368863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3.2.4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том числе с учетом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объема поставки продукции, который ему предполагается поручить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соответствии с Планом распределения объемов поставки продукции, представленным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нутри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Сведения и документы, аналогичные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установленным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подразделах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–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_Ref125361442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отношении каждого субподрядчика, подтверждающие его соответствие данным требованиям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13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6"/>
              </w:numPr>
              <w:ind w:left="28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01" w:name="_Ref125553847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01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66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Дополнительные 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ребования не установлены.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Дополнительные 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ребования не установлены.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11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5" w:name="_Toc48"/>
      <w:r>
        <w:rPr>
          <w:rFonts w:ascii="Times New Roman" w:hAnsi="Times New Roman" w:eastAsia="Times New Roman" w:cs="Times New Roman"/>
          <w:sz w:val="24"/>
          <w:szCs w:val="24"/>
        </w:rPr>
      </w:r>
      <w:bookmarkStart w:id="302" w:name="Прил04_ФормыЗаявки"/>
      <w:r>
        <w:rPr>
          <w:rFonts w:ascii="Times New Roman" w:hAnsi="Times New Roman" w:eastAsia="Times New Roman" w:cs="Times New Roman"/>
          <w:sz w:val="24"/>
          <w:szCs w:val="24"/>
        </w:rPr>
      </w:r>
      <w:bookmarkStart w:id="303" w:name="_Ref125362865"/>
      <w:r>
        <w:rPr>
          <w:rFonts w:ascii="Times New Roman" w:hAnsi="Times New Roman" w:eastAsia="Times New Roman" w:cs="Times New Roman"/>
          <w:sz w:val="24"/>
          <w:szCs w:val="24"/>
        </w:rPr>
      </w:r>
      <w:bookmarkStart w:id="304" w:name="_Ref125362900"/>
      <w:r>
        <w:rPr>
          <w:rFonts w:ascii="Times New Roman" w:hAnsi="Times New Roman" w:eastAsia="Times New Roman" w:cs="Times New Roman"/>
          <w:sz w:val="24"/>
          <w:szCs w:val="24"/>
        </w:rPr>
      </w:r>
      <w:bookmarkEnd w:id="302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Образцы форм документов, включаемых в состав заявки</w:t>
      </w:r>
      <w:bookmarkEnd w:id="405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6" w:name="_Toc49"/>
      <w:r>
        <w:rPr>
          <w:rFonts w:ascii="Times New Roman" w:hAnsi="Times New Roman" w:eastAsia="Times New Roman" w:cs="Times New Roman"/>
          <w:sz w:val="24"/>
          <w:szCs w:val="24"/>
        </w:rPr>
        <w:t xml:space="preserve">Пояснения к Образца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форм документов, включаемых в состав заявки</w:t>
      </w:r>
      <w:bookmarkEnd w:id="406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Образцы форм документов, включаемых в состав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(с инструкциями по их оформлению)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приведены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отдельном файле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предоставляются отдельным документом в составе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являющимся Приложением №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 Документации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7" w:name="_Toc50"/>
      <w:r>
        <w:rPr>
          <w:rFonts w:ascii="Times New Roman" w:hAnsi="Times New Roman" w:eastAsia="Times New Roman" w:cs="Times New Roman"/>
          <w:sz w:val="24"/>
          <w:szCs w:val="24"/>
        </w:rPr>
      </w:r>
      <w:bookmarkStart w:id="307" w:name="Прил05_ФормыПобедителя"/>
      <w:r>
        <w:rPr>
          <w:rFonts w:ascii="Times New Roman" w:hAnsi="Times New Roman" w:eastAsia="Times New Roman" w:cs="Times New Roman"/>
          <w:sz w:val="24"/>
          <w:szCs w:val="24"/>
        </w:rPr>
      </w:r>
      <w:bookmarkEnd w:id="307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 5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Образцы форм документов, предоставляемых Победителем</w:t>
      </w:r>
      <w:bookmarkEnd w:id="407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8" w:name="_Toc51"/>
      <w:r>
        <w:rPr>
          <w:rFonts w:ascii="Times New Roman" w:hAnsi="Times New Roman" w:eastAsia="Times New Roman" w:cs="Times New Roman"/>
          <w:sz w:val="24"/>
          <w:szCs w:val="24"/>
        </w:rPr>
        <w:t xml:space="preserve">Пояснения к Образцам форм документов, предоставляемых Победителем</w:t>
      </w:r>
      <w:bookmarkEnd w:id="40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Образцы форм документов, предоставляемых Победителем (или Единственным участником, в случае признания закупки несостоявшейся и принятия решения о заключении договора с ее Единственным участником), 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также дополнительные пояснения по их предоставлению и инструкции по их оформлению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приведены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подразделах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_Ref130395470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10.2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_Ref130395475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10.3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09" w:name="_Toc52"/>
      <w:r>
        <w:rPr>
          <w:rFonts w:ascii="Times New Roman" w:hAnsi="Times New Roman" w:eastAsia="Times New Roman" w:cs="Times New Roman"/>
          <w:sz w:val="24"/>
          <w:szCs w:val="24"/>
        </w:rPr>
      </w:r>
      <w:bookmarkStart w:id="310" w:name="_Ref130395470"/>
      <w:r>
        <w:rPr>
          <w:rFonts w:ascii="Times New Roman" w:hAnsi="Times New Roman" w:eastAsia="Times New Roman" w:cs="Times New Roman"/>
          <w:sz w:val="24"/>
          <w:szCs w:val="24"/>
        </w:rPr>
        <w:t xml:space="preserve">Форма справки «Сведения о цепочке собственников, включая бенефициаров (в том числе конечных)»</w:t>
      </w:r>
      <w:bookmarkEnd w:id="310"/>
      <w:r>
        <w:rPr>
          <w:rFonts w:ascii="Times New Roman" w:hAnsi="Times New Roman" w:eastAsia="Times New Roman" w:cs="Times New Roman"/>
          <w:sz w:val="24"/>
          <w:szCs w:val="24"/>
        </w:rPr>
      </w:r>
      <w:bookmarkEnd w:id="40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Справка «Сведения о цепочке собственников, включая бенефициаров (в том числе конечных)» предоставляется Победителем закупки (поставщиком).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Форма справки «Сведения о цепочке собственников, включая бенефициаров (в том числе конечных)»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c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приложением 1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Перечень подтверждающих документов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 и приложением 2 «Согласие на обработку и передачу персональных и иных охраняемых законом данных» приведена в отдельном файле в формате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Microsoft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Word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12" w:name="_MON_1741074142"/>
      <w:r>
        <w:rPr>
          <w:rFonts w:ascii="Times New Roman" w:hAnsi="Times New Roman" w:eastAsia="Times New Roman" w:cs="Times New Roman"/>
          <w:sz w:val="24"/>
          <w:szCs w:val="24"/>
        </w:rPr>
      </w:r>
      <w:bookmarkEnd w:id="312"/>
      <w:r>
        <w:rPr>
          <w:rFonts w:ascii="Times New Roman" w:hAnsi="Times New Roman" w:eastAsia="Times New Roman" w:cs="Times New Roman"/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90600" cy="638175"/>
                <wp:effectExtent l="0" t="0" r="0" b="0"/>
                <wp:docPr id="2" name="_x0000_i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0">
                          <a:extLst>
                            <a:ext uri="{96DAC541-7B7A-43D3-8B79-37D633B846F1}">
                              <asvg:svgBlip xmlns:asvg="http://schemas.microsoft.com/office/drawing/2016/SVG/main" r:embed="rId21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9060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78.00pt;height:50.25pt;mso-wrap-distance-left:0.00pt;mso-wrap-distance-top:0.00pt;mso-wrap-distance-right:0.00pt;mso-wrap-distance-bottom:0.00pt;" stroked="f">
                <v:path textboxrect="0,0,0,0"/>
                <v:imagedata r:id="rId20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0" w:name="_Toc53"/>
      <w:r>
        <w:rPr>
          <w:rFonts w:ascii="Times New Roman" w:hAnsi="Times New Roman" w:eastAsia="Times New Roman" w:cs="Times New Roman"/>
          <w:sz w:val="24"/>
          <w:szCs w:val="24"/>
        </w:rPr>
      </w:r>
      <w:bookmarkStart w:id="313" w:name="_Ref130395475"/>
      <w:r>
        <w:rPr>
          <w:rFonts w:ascii="Times New Roman" w:hAnsi="Times New Roman" w:eastAsia="Times New Roman" w:cs="Times New Roman"/>
          <w:sz w:val="24"/>
          <w:szCs w:val="24"/>
        </w:rPr>
        <w:t xml:space="preserve">Форма «Заверение об обстоятельствах»</w:t>
      </w:r>
      <w:bookmarkEnd w:id="313"/>
      <w:r>
        <w:rPr>
          <w:rFonts w:ascii="Times New Roman" w:hAnsi="Times New Roman" w:eastAsia="Times New Roman" w:cs="Times New Roman"/>
          <w:sz w:val="24"/>
          <w:szCs w:val="24"/>
        </w:rPr>
      </w:r>
      <w:bookmarkEnd w:id="41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Форма Заверени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об обстоятельствах предоставляется Победителем закупки (поставщиком) только при заключении договоров стоимостью свыше 100 000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000 (Ста миллионов) рублей либо договоров (без ограничения по сумме), положения которых не содержат аналогичных заверений об обстоятельствах, и предоставляется Заказчику в срок не позднее 3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(трех) рабочих дней с даты официального размещения Организатором итогового протокола по результатам 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Победител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закупки (поставщик) должен выбрать соответствующий ему вариант Заверения 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обстоятельствах, исходя из необходимости получения согласий органов управления / одобрения сделки органами управления Поставщика в соответствии с законодательством, уставом, внутренними документами и отдельными решениями органов управления Поставщика, 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последующего заключения Договора по предмету настоящей закупки.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Заверение об обстоятельствах следует оформить на официальном бланке Победителя закупки (поставщика) (с указанием даты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номера в соответствии с принятыми у него правилами документооборота) и заверить подписью единоличного исполнительного органа Победителя закупки (поставщика) (или иным уполномоченным лицом на основании доверенности), а также скрепить печатью (при наличии).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Форма «Заверение об обстоятельствах» приведена в отдельном файле в формате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Microsoft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Word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jc w:val="center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315" w:name="_MON_1741074184"/>
      <w:r>
        <w:rPr>
          <w:rFonts w:ascii="Times New Roman" w:hAnsi="Times New Roman" w:eastAsia="Times New Roman" w:cs="Times New Roman"/>
          <w:sz w:val="24"/>
          <w:szCs w:val="24"/>
        </w:rPr>
      </w:r>
      <w:bookmarkEnd w:id="315"/>
      <w:r>
        <w:rPr>
          <w:rFonts w:ascii="Times New Roman" w:hAnsi="Times New Roman" w:eastAsia="Times New Roman" w:cs="Times New Roman"/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90600" cy="638175"/>
                <wp:effectExtent l="0" t="0" r="0" b="0"/>
                <wp:docPr id="3" name="_x0000_i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2">
                          <a:extLst>
                            <a:ext uri="{96DAC541-7B7A-43D3-8B79-37D633B846F1}">
                              <asvg:svgBlip xmlns:asvg="http://schemas.microsoft.com/office/drawing/2016/SVG/main" r:embed="rId23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9060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beve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78.00pt;height:50.25pt;mso-wrap-distance-left:0.00pt;mso-wrap-distance-top:0.00pt;mso-wrap-distance-right:0.00pt;mso-wrap-distance-bottom:0.00pt;" stroked="f">
                <v:path textboxrect="0,0,0,0"/>
                <v:imagedata r:id="rId22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1" w:name="_Toc54"/>
      <w:r>
        <w:rPr>
          <w:rFonts w:ascii="Times New Roman" w:hAnsi="Times New Roman" w:eastAsia="Times New Roman" w:cs="Times New Roman"/>
          <w:sz w:val="24"/>
          <w:szCs w:val="24"/>
        </w:rPr>
      </w:r>
      <w:bookmarkStart w:id="316" w:name="Прил06_СоставЗаявки"/>
      <w:r>
        <w:rPr>
          <w:rFonts w:ascii="Times New Roman" w:hAnsi="Times New Roman" w:eastAsia="Times New Roman" w:cs="Times New Roman"/>
          <w:sz w:val="24"/>
          <w:szCs w:val="24"/>
        </w:rPr>
      </w:r>
      <w:bookmarkEnd w:id="316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Состав заявки</w:t>
      </w:r>
      <w:bookmarkEnd w:id="303"/>
      <w:r>
        <w:rPr>
          <w:rFonts w:ascii="Times New Roman" w:hAnsi="Times New Roman" w:eastAsia="Times New Roman" w:cs="Times New Roman"/>
          <w:sz w:val="24"/>
          <w:szCs w:val="24"/>
        </w:rPr>
      </w:r>
      <w:bookmarkEnd w:id="304"/>
      <w:r>
        <w:rPr>
          <w:rFonts w:ascii="Times New Roman" w:hAnsi="Times New Roman" w:eastAsia="Times New Roman" w:cs="Times New Roman"/>
          <w:sz w:val="24"/>
          <w:szCs w:val="24"/>
        </w:rPr>
      </w:r>
      <w:bookmarkEnd w:id="41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2" w:name="_Toc55"/>
      <w:r>
        <w:rPr>
          <w:rFonts w:ascii="Times New Roman" w:hAnsi="Times New Roman" w:eastAsia="Times New Roman" w:cs="Times New Roman"/>
          <w:sz w:val="24"/>
          <w:szCs w:val="24"/>
        </w:rPr>
        <w:t xml:space="preserve">Состав заявки</w:t>
      </w:r>
      <w:bookmarkEnd w:id="412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Заявка на участие в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должна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состоять из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втор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част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ценово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предложени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я, которые должны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содержать следующий комплект документов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бразцы форм документов, включаемых в состав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инструкциями по их оформлению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приведены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hyperlink w:tooltip="#Прил04_ФормыЗаявки" w:anchor="Прил04_ФормыЗаявки" w:history="1"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Приложени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и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 № </w:t>
        </w:r>
        <w:r>
          <w:rPr>
            <w:rStyle w:val="1173"/>
            <w:rFonts w:ascii="Times New Roman" w:hAnsi="Times New Roman" w:eastAsia="Times New Roman" w:cs="Times New Roman"/>
            <w:sz w:val="24"/>
            <w:szCs w:val="24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1170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8074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документа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ind w:left="360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Первая часть заявки: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Техническое предложение (форма 4), которое в том числе может включать План распределения объемов поставки продукции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(без указания указание сведений, позволяющих каким-либо образом идентифицировать генерального подрядчика или привлекаемого им субподрядчика / соисполнителя)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Календарный график (форма 5)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shd w:val="clear" w:color="auto" w:fill="d0cece"/>
              </w:rPr>
              <w:t xml:space="preserve">в рамках данной процедуры предоставление Календарного графика не требуется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Документы и сведения, предоставляемые в первой части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исключительно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для целей проведения оценки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 предоставля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если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соответствующ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критери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которые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касаются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продукции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слови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исполнения договора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(такие документы и сведения не должны позволять каким-либо образом идентифицировать Участника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, в том числе через сведения о материально-технических или кадровых ресурсах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ind w:left="360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Вторая часть заявки: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Письмо о подаче оферты (форма 2);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Анкета Участника (форма 6);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Документы, подтверждающие соответствие Участника обязательным требованиям Документации о 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а также необходимые документы для прохождения (при необходимости) процедуры аккредитации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 требования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подтверждающим документам приведены в указанном подразделе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Документы, подтверждающие соответствие Участника специальным требованиям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соответствующие требования установлены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 (подраздел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_Ref125709153 \r \h 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Документы, подтверждающие соответствие Генерального подрядчика требованиям Документации о закупке (подраздел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_Ref125709777 \r \h 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 подает заявку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 лица Генерального подрядчика (подраздел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_Ref125361702 \r \h 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), 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именно: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План распределения объемов поставки продукции,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представленны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нутри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прочие документы, определенные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_Ref125709777 \r \h 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19" w:name="_Ref132888537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19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Копия независимой гарантии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предоставляется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 необходимости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случае отсутствия внесенных Участником денежных средств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специальный банковский счет;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20" w:name="_Ref130389408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20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Справка об опыте Участника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с необходимыми приложениями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ней, если требуется,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– предоставляется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 второй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заявки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исключительно для целей проведения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Порядк</w:t>
              </w:r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е</w:t>
              </w:r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 и критери</w:t>
              </w:r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ях</w:t>
              </w:r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 оценки и сопоставления заявок</w:t>
              </w:r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 (Приложение № </w:t>
              </w:r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8</w:t>
              </w:r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 соответствующий критерий оценки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части опыта;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21" w:name="_Ref130389413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21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Справка о материально-технических ресурсах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необходимыми приложениями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ней, если требуется,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предоставляется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 второй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заявки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исключительно для целей проведения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соответствующий критерий оценки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части наличия (привлечения) материально-технических ресурсов;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22" w:name="_Ref130389419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22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Справка о кадровых ресурсах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с необходимыми приложениями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ней, если требуется,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предоставляется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 второй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заявки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исключительно для целей проведения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соответствующий критерий оценки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части наличия (привлечения) кадровых ресурсов;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Справка об аффилированности Участника с изготовителем (производителем) предлагаемого товара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– предоставляется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Участники имеет признаки аффилированности согласно критериям, установленным в инструкции к указанной справке (дополнительно предоставляются документы, подтверждающие аффилированность по тому или иному критерию)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соответствующий критерий оценки в части наличия аффилированности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окумент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(или их копии)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подтверждающи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соответствие предлагаемой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поставке продукции требованиям, установленным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Технических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 предоставля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Технических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было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установлено соответствующ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 требовани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ind w:left="360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Ценовое предложение: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Коммерческое предложение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(включая Структуру НМЦ)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(форма 3)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также дополнительно предоставля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подтверждающая документация, составленная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соответствии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Техническими требованиями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только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если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Технических требованиях установлены требования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по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ценообразованию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(подраздел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по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ценообразованию на этапе закупки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»)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либо аналогичн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ые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по смыслу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1145"/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Е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сли по каким-либо причинам Участник не может предоставить какой-либо из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 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требуемых документов, он может в составе заявки приложить составленную в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 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 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Участника обязанности по предоставлению требуемого документа).</w:t>
      </w:r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p>
      <w:pPr>
        <w:pStyle w:val="1149"/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3" w:name="_Toc56"/>
      <w:r>
        <w:rPr>
          <w:rFonts w:ascii="Times New Roman" w:hAnsi="Times New Roman" w:eastAsia="Times New Roman" w:cs="Times New Roman"/>
          <w:sz w:val="24"/>
          <w:szCs w:val="24"/>
        </w:rPr>
      </w:r>
      <w:bookmarkStart w:id="323" w:name="Прил07_ОтборочныеКритерии"/>
      <w:r>
        <w:rPr>
          <w:rFonts w:ascii="Times New Roman" w:hAnsi="Times New Roman" w:eastAsia="Times New Roman" w:cs="Times New Roman"/>
          <w:sz w:val="24"/>
          <w:szCs w:val="24"/>
        </w:rPr>
      </w:r>
      <w:bookmarkStart w:id="324" w:name="_Ref125365264"/>
      <w:r>
        <w:rPr>
          <w:rFonts w:ascii="Times New Roman" w:hAnsi="Times New Roman" w:eastAsia="Times New Roman" w:cs="Times New Roman"/>
          <w:sz w:val="24"/>
          <w:szCs w:val="24"/>
        </w:rPr>
      </w:r>
      <w:bookmarkEnd w:id="323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7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Отборочные критерии рассмотрения заявок</w:t>
      </w:r>
      <w:bookmarkEnd w:id="324"/>
      <w:r>
        <w:rPr>
          <w:rFonts w:ascii="Times New Roman" w:hAnsi="Times New Roman" w:eastAsia="Times New Roman" w:cs="Times New Roman"/>
          <w:sz w:val="24"/>
          <w:szCs w:val="24"/>
        </w:rPr>
      </w:r>
      <w:bookmarkEnd w:id="41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spacing w:after="120"/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4" w:name="_Toc57"/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Отборочные критерии рассмотрения 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первых частей 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заявок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</w:r>
      <w:bookmarkEnd w:id="414"/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tbl>
      <w:tblPr>
        <w:tblStyle w:val="1170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критерия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отборочного критерия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 пункта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оценки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4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Состав и правильность оформления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первой части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заявки, в том числе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Наличие в составе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первой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заявки обязательных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предоставлению (для целей рассмотрения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первых частей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6 «Состав заявки»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а также правильность их оформления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т.ч. в части языка заявки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Style w:val="117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_Ref125362119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6_СоставЗаявки" w:anchor="Прил06_Состав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6</w:t>
              </w:r>
            </w:hyperlink>
            <w:r>
              <w:rPr>
                <w:rStyle w:val="1173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1173"/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Отсутствие в материалах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(документах) первой части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заявки недостоверных сведений или намеренно искаженной информации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документов, внутренних противоречий между различными частями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документами заявки,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том числе по тексту внутри одного документа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также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противоречий между документами заявки и сведениями, указанными Участником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структурированных формах на ЭП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Отсутствие в материалах первой части заявки сведений об Участнике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 его ценовом предложении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4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Соответствие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ехническ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b/>
                  <w:bCs/>
                  <w:sz w:val="24"/>
                  <w:szCs w:val="24"/>
                </w:rPr>
                <w:t xml:space="preserve">Техническим требованиям (Приложение № 1)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, в том числе: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предложения установленным требованиям к предоставлению национального режима, в том числе в части состава и требований к информации и перечню документов, которые подтверждают страну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происхождения товара, установленным в 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Технических требованиях (Приложение № 1)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REF _Ref186219943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_Ref186219943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предложения установленным требованиям к предоставлению национального режима в части предоставления информации и перечня документов, которые подтверждают страну происхождения товара, установленным в 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Технических требованиях (Приложение № 1)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REF _Ref186219943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_Ref186219943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объ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мов и состава работ / услуг, технологии производства работ, предложенных Участником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ехническом предложении, требованиям,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указанным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Технический требованиях (Приложение № 1)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номенклатуры, количества и характеристик материалов / оборудования, предложенных Участником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ехническом предложении,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требованиям, указанным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Технический требованиях (Приложение № 1)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Календарного графика требованиям к срокам и этапам реализации Договора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Технический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Проекте договора (Приложение № 2)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shd w:val="clear" w:color="auto" w:fill="d0cece"/>
              </w:rPr>
              <w:t xml:space="preserve">в рамках данной процедуры предоставление Календарного графика не требуется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2_ПроектДоговора" w:anchor="Прил02_ПроектДоговора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2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требованиям к гарантии на поставляемые материалы / оборудование и результаты выполненных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Технический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Проекте договора (Приложение № 2)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ункт применяется только в случае установления соответствующих требований)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2_ПроектДоговора" w:anchor="Прил02_ПроектДоговора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2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предлагаемой к поставке продукции дополнительным требованиям,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установленным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Технический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с предоставлением требуемых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подтверждающих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ункт применяется только в случае установления соответствующих требований)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1144"/>
        <w:spacing w:after="120"/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5" w:name="_Toc58"/>
      <w:r>
        <w:rPr>
          <w:rFonts w:ascii="Times New Roman" w:hAnsi="Times New Roman" w:eastAsia="Times New Roman" w:cs="Times New Roman"/>
          <w:sz w:val="24"/>
          <w:szCs w:val="24"/>
        </w:rPr>
      </w:r>
      <w:bookmarkStart w:id="328" w:name="_Hlk132891087"/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Отборочные критерии рассмотрения вторых частей заявок</w:t>
      </w:r>
      <w:bookmarkEnd w:id="328"/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</w:r>
      <w:bookmarkEnd w:id="415"/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tbl>
      <w:tblPr>
        <w:tblStyle w:val="1170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критерия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отборочного критерия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 пункта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оценки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4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Состав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и правильность оформления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второй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части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заявки, в том числе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Наличие в составе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второй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заявки всех обязательных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предоставлению (для целей рассмотрения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вторых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частей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6 «Состав заявки»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а также правильность их оформления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т.ч. в части наличия должных печатей, подписей, формы заверения, языка и валюты заявки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Style w:val="117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_Ref125362119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6_СоставЗаявки" w:anchor="Прил06_Состав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6</w:t>
              </w:r>
            </w:hyperlink>
            <w:r>
              <w:rPr>
                <w:rStyle w:val="1173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1173"/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Орг, Тех,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Юр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330" w:name="_Ref132890414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330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Наличие обеспечения обязательств Участника, связанного с подачей заявки, в виде независимой гарантии и ее соответствие установленным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требованиям Документации о 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подразделом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_Ref125359973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предусмотрена обязанность Участников предоставить обеспечение заявки на участие в 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в случае отсутствия внесение денежных средств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специальный банковский счет, открытый Участником в банке, включенном в перечень, определенный Правительством Российской Федерации в соответствии с Законом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44-ФЗ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_Ref130455226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части наличия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сведений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реестре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Фин – в части соответствия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Отсутствие в материалах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(документах) второй части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заявки недостоверных сведений или намеренно искаженной информации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документов, внутренних противоречий между различными частями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документами заявки,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том числе по тексту внутри одного документа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а также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противоречий между документами заявки и сведениями, указанными Участником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структурированных формах на ЭП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Орг, Тех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Юр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4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Соответствие Письма о подаче оферты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(в том числе содержание)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Письма о подаче оферты установленной форме и иным требованиям Документации о закупке, в т.ч. в части срока действия заявки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4_ФормыЗаявки" w:anchor="Прил04_Формы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4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Соответствие Участника установленным требованиям Документации о закупке, в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том числе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Участника пункту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_Ref125552433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обязательных требований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 Участникам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 рамках осуществления экспертизы заявки Участника в том числе проверяется наличие у него статуса «аккредитован» / «аккредитация не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требуется», или проводится процедура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его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аккредитации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(при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необходимости). В рамках заключения Договора Победитель в целях подтверждения своего соответствия предоставляет документы в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порядке, предусмотренном подразделом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REF _Ref138341423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5.2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Юр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Участника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пункт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_Ref132893662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обязательных требований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 Участникам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Участника пункт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обязательных требований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 Участникам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Участника пункту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_Ref186220330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обязательных требований к Участникам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REF _Ref186219943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Участника пункту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_Ref186220335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обязательных требований к Участникам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REF _Ref186219943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Участника специальным требованиям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 Участникам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ункт применяется только в случае установления соответствующих требований)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_Ref125361442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Генерального подрядчика установленным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отношении его требованиям: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пункт применяется только в случае проведения закупки, принять участие в которой можно от лица Генерального подрядчика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REF _Ref125359973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, 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instrText xml:space="preserve"> REF _Ref125361702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 и заявка подана от его лица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1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части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пунктов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_Ref125370187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_Ref125553847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_Ref125709777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1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части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пункта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_Ref125370193 \w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_Ref125709777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Орг, 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4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Соответствие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ехническ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b/>
                  <w:bCs/>
                  <w:sz w:val="24"/>
                  <w:szCs w:val="24"/>
                </w:rPr>
                <w:t xml:space="preserve">Техническим требованиям (Приложение № 1)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, в том числе: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предлагаемой к поставке продукции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иным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требованиям,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установленным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</w:t>
              </w:r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х</w:t>
              </w:r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предоставлением требуемых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подтверждающих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ункт применяется только в случае установления соответствующих требований)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1144"/>
        <w:spacing w:after="120"/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6" w:name="_Toc59"/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Отборочные критерии рассмотрения ценовых предложений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</w:r>
      <w:bookmarkEnd w:id="416"/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tbl>
      <w:tblPr>
        <w:tblStyle w:val="1170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критерия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отборочного критерия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 пункта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оценки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4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Состав, содержание и правильность оформления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ценового предложения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, в том числе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ценового предложения по составу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требованиям </w:t>
            </w:r>
            <w:hyperlink w:tooltip="#Прил06_СоставЗаявки" w:anchor="Прил06_Состав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Приложения № 6 «Состав заявки»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а также правильности оформления документов, входящих в его состав, в том числе установленной форме и иным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иным требованиям Документации о закупке (в т.ч. в части языка и валюты заявки)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_Ref125362119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jc w:val="center"/>
              <w:rPr>
                <w:rStyle w:val="117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w:tooltip="#Прил06_СоставЗаявки" w:anchor="Прил06_Состав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6</w:t>
              </w:r>
            </w:hyperlink>
            <w:r>
              <w:rPr>
                <w:rStyle w:val="1173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1173"/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Отсутствие в материалах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(документов)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ценового предложения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недостоверных сведений или намеренно искаженной информации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документов, внутренних противоречий между различными частями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документами заявки,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том числе по тексту внутри одного документа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 также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противоречий между документами заявки и сведениями, указанными Участником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структурированных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формах на ЭП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49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Соответствие Коммерческого предложения Участника требованиям Документации о закупке, в том числе: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 Коммерческого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4_ФормыЗаявки" w:anchor="Прил04_Формы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8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подтверждающей документации, прилагаемой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Коммерческому приложению (форма 3) (</w:t>
            </w:r>
            <w:hyperlink w:tooltip="#Прил04_ФормыЗаявки" w:anchor="Прил04_Формы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требованиям,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указанным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Технически</w:t>
              </w:r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х</w:t>
              </w:r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 требованиях (Приложение № 1)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ункт применяется только в случае установления соответствующих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требований в </w:t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i/>
                  <w:iCs/>
                  <w:sz w:val="24"/>
                  <w:szCs w:val="24"/>
                </w:rPr>
                <w:t xml:space="preserve">Технических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w:tooltip="#Прил01_ТехТребования" w:anchor="Прил01_ТехТребования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1144"/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7" w:name="_Toc60"/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Дополнительные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 критерии проверки заяв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ок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 на соответстви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е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  <w:t xml:space="preserve"> условиям Документации о закупке</w:t>
      </w:r>
      <w:r>
        <w:rPr>
          <w:rStyle w:val="1154"/>
          <w:rFonts w:ascii="Times New Roman" w:hAnsi="Times New Roman" w:eastAsia="Times New Roman" w:cs="Times New Roman"/>
          <w:i w:val="0"/>
          <w:iCs w:val="0"/>
          <w:sz w:val="24"/>
          <w:szCs w:val="24"/>
          <w:shd w:val="clear" w:color="auto" w:fill="auto"/>
        </w:rPr>
      </w:r>
      <w:bookmarkEnd w:id="417"/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  <w:r>
        <w:rPr>
          <w:rStyle w:val="1154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r>
    </w:p>
    <w:p>
      <w:pPr>
        <w:pStyle w:val="1149"/>
        <w:keepNext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Несоответстви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одному или всем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ым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критери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не являет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основанием для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отклонения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заявки.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1170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критерия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отборочного критерия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 пункта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о закупке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оценки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9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Наличие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заявке в форме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Коммерческо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информации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стране происхождения товара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9"/>
              <w:jc w:val="center"/>
              <w:rPr>
                <w:rStyle w:val="117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REF _Ref132816300 \r \h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hyperlink w:tooltip="#Прил04_ФормыЗаявки" w:anchor="Прил04_ФормыЗаявки" w:history="1">
              <w:r>
                <w:rPr>
                  <w:rStyle w:val="1173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Приложение № 4</w:t>
              </w:r>
            </w:hyperlink>
            <w:r>
              <w:rPr>
                <w:rStyle w:val="1173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1173"/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1149"/>
        <w:keepNext/>
        <w:spacing w:before="240"/>
        <w:tabs>
          <w:tab w:val="left" w:pos="851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*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Направления оценки заявок: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149"/>
        <w:ind w:left="1701" w:hanging="1701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Орг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наличия в составе заявки необходимых документов для рассмотрения экспертом по своему направлению: проверка наличия в составе заявке и оценка правильности оформления Письма о подаче оферты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наличия обеспечения обязательств Участника, связанного с подачей заявки, в виде независимой гарантии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(в том числе наличие сведений о ней в соответствующем реестре в ЕИС)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– в случае отсутствия внесенных Участником денежных средств на специальный банковский счет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(последние применяется только в случае установления соответствующих требований)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наличие 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Участника статуса «аккредитован», либо статуса «аккредитация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требуется» (или наличие заявки на аккредитацию (при необходимости))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участвует в процедуре актуализации статуса аккредитации (при необходимости)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отсутствие сведений об Участнике в перечне юридических лиц, в отношении которых применяются специальные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экономические меры, утвержденном Постановлением Правительства Российской Федерации от 11.05.2022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851;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наличи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информации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Реестре МСП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https://rmsp.nalog.ru/index.html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отношении физических лиц, не являющихся индивидуальными предпринимателями и применяющих специальный налоговый режим «Налог на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профессиональный доход»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наличие информации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фициальном сайте федерального органа исполнительной власти, уполномоченного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контролю и надзору в области налогов и сборов, о применении ими такого налогового режима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https://npd.nalog.ru/check-status/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left="1701" w:hanging="1701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Тех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наличия в составе заявки всех необходимых документов для рассмотрения экспертом по своему направлению, а также правильности их оформления; оценка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ехнических предложений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сведений, подтверждающих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 Участника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специальным требованиям 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 оценка квалификационных данных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(в рамках оценки заявок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соответствующим критериям оценки),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технической части подтверждающей документации, прилагаемой к Коммерческому предложению (при наличии), а также, при необходимости, технических условий исполнения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left="1701" w:hanging="1701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Юр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наличия в составе заявки всех необходимых документов для рассмотрени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 экспертом по своему направлению, а также оценка правильности их оформления (в т.ч. в части наличия должных печатей, подписей формы заверения, языка заявки); оценка юридических аспектов заявки, в том числе оценка правомочности подписанта доверенности (при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необходимости) на основании выписки из ЕГРЮЛ (выписка из ЕГРЮЛ доступна на официальном сервисе ФНС России https://egrul.nalog.ru/index.html)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left="1701" w:hanging="1701"/>
        <w:keepNext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Цена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наличия должных печатей, подписей формы заверения, языка и валюты заявки);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проверка отсутствия противоречий (в части стоимости заявки (цены Договора)) между Письмом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подаче оферты и сведениями, указанными Участником в структурированных формах на ЭП;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оценка Коммерческого предложения Участника, а также (при наличии) прилагаемой к нему подтверждающей документации (включая спецификацию) на предмет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непревышения ценового предложения участника установленного размера НМЦ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ind w:left="1701" w:hanging="1701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Фин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оценка независимой гарантии, в том числе правильность оформления рассматриваемых документов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т.ч. в части наличия должных печатей, подписей формы заверения, языка и валюты заявки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(финансовая экспертиза проводится по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инициативе эксперта по направлениям Орг, в случае наличия в заявке независимой гарантии)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указания по одному критерию отбора сразу нескольких направлений оценки заявок – экспертиза на соответствие указанному критерию осуществляется в пределах компетенции эксперта (в рамках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материалов (документов)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являющихся предметом его экспертизы)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8" w:name="_Toc61"/>
      <w:r>
        <w:rPr>
          <w:rFonts w:ascii="Times New Roman" w:hAnsi="Times New Roman" w:eastAsia="Times New Roman" w:cs="Times New Roman"/>
          <w:sz w:val="24"/>
          <w:szCs w:val="24"/>
        </w:rPr>
      </w:r>
      <w:bookmarkStart w:id="333" w:name="Прил08_ПорядокОценки"/>
      <w:r>
        <w:rPr>
          <w:rFonts w:ascii="Times New Roman" w:hAnsi="Times New Roman" w:eastAsia="Times New Roman" w:cs="Times New Roman"/>
          <w:sz w:val="24"/>
          <w:szCs w:val="24"/>
        </w:rPr>
      </w:r>
      <w:bookmarkStart w:id="334" w:name="_Ref125361648"/>
      <w:r>
        <w:rPr>
          <w:rFonts w:ascii="Times New Roman" w:hAnsi="Times New Roman" w:eastAsia="Times New Roman" w:cs="Times New Roman"/>
          <w:sz w:val="24"/>
          <w:szCs w:val="24"/>
        </w:rPr>
      </w:r>
      <w:bookmarkStart w:id="335" w:name="_Ref125361951"/>
      <w:r>
        <w:rPr>
          <w:rFonts w:ascii="Times New Roman" w:hAnsi="Times New Roman" w:eastAsia="Times New Roman" w:cs="Times New Roman"/>
          <w:sz w:val="24"/>
          <w:szCs w:val="24"/>
        </w:rPr>
      </w:r>
      <w:bookmarkStart w:id="336" w:name="_Ref125366013"/>
      <w:r>
        <w:rPr>
          <w:rFonts w:ascii="Times New Roman" w:hAnsi="Times New Roman" w:eastAsia="Times New Roman" w:cs="Times New Roman"/>
          <w:sz w:val="24"/>
          <w:szCs w:val="24"/>
        </w:rPr>
      </w:r>
      <w:bookmarkStart w:id="337" w:name="_Ref125366280"/>
      <w:r>
        <w:rPr>
          <w:rFonts w:ascii="Times New Roman" w:hAnsi="Times New Roman" w:eastAsia="Times New Roman" w:cs="Times New Roman"/>
          <w:sz w:val="24"/>
          <w:szCs w:val="24"/>
        </w:rPr>
      </w:r>
      <w:bookmarkStart w:id="338" w:name="_Ref125366285"/>
      <w:r>
        <w:rPr>
          <w:rFonts w:ascii="Times New Roman" w:hAnsi="Times New Roman" w:eastAsia="Times New Roman" w:cs="Times New Roman"/>
          <w:sz w:val="24"/>
          <w:szCs w:val="24"/>
        </w:rPr>
      </w:r>
      <w:bookmarkStart w:id="339" w:name="_Ref125368140"/>
      <w:r>
        <w:rPr>
          <w:rFonts w:ascii="Times New Roman" w:hAnsi="Times New Roman" w:eastAsia="Times New Roman" w:cs="Times New Roman"/>
          <w:sz w:val="24"/>
          <w:szCs w:val="24"/>
        </w:rPr>
      </w:r>
      <w:bookmarkStart w:id="340" w:name="_Ref125368150"/>
      <w:r>
        <w:rPr>
          <w:rFonts w:ascii="Times New Roman" w:hAnsi="Times New Roman" w:eastAsia="Times New Roman" w:cs="Times New Roman"/>
          <w:sz w:val="24"/>
          <w:szCs w:val="24"/>
        </w:rPr>
      </w:r>
      <w:bookmarkStart w:id="341" w:name="_Ref125368165"/>
      <w:r>
        <w:rPr>
          <w:rFonts w:ascii="Times New Roman" w:hAnsi="Times New Roman" w:eastAsia="Times New Roman" w:cs="Times New Roman"/>
          <w:sz w:val="24"/>
          <w:szCs w:val="24"/>
        </w:rPr>
      </w:r>
      <w:bookmarkStart w:id="342" w:name="_Ref125368172"/>
      <w:r>
        <w:rPr>
          <w:rFonts w:ascii="Times New Roman" w:hAnsi="Times New Roman" w:eastAsia="Times New Roman" w:cs="Times New Roman"/>
          <w:sz w:val="24"/>
          <w:szCs w:val="24"/>
        </w:rPr>
      </w:r>
      <w:bookmarkStart w:id="343" w:name="_Ref125368184"/>
      <w:r>
        <w:rPr>
          <w:rFonts w:ascii="Times New Roman" w:hAnsi="Times New Roman" w:eastAsia="Times New Roman" w:cs="Times New Roman"/>
          <w:sz w:val="24"/>
          <w:szCs w:val="24"/>
        </w:rPr>
      </w:r>
      <w:bookmarkStart w:id="344" w:name="_Ref125368283"/>
      <w:r>
        <w:rPr>
          <w:rFonts w:ascii="Times New Roman" w:hAnsi="Times New Roman" w:eastAsia="Times New Roman" w:cs="Times New Roman"/>
          <w:sz w:val="24"/>
          <w:szCs w:val="24"/>
        </w:rPr>
      </w:r>
      <w:bookmarkStart w:id="345" w:name="_Ref125368291"/>
      <w:r>
        <w:rPr>
          <w:rFonts w:ascii="Times New Roman" w:hAnsi="Times New Roman" w:eastAsia="Times New Roman" w:cs="Times New Roman"/>
          <w:sz w:val="24"/>
          <w:szCs w:val="24"/>
        </w:rPr>
      </w:r>
      <w:bookmarkStart w:id="346" w:name="_Ref125368302"/>
      <w:r>
        <w:rPr>
          <w:rFonts w:ascii="Times New Roman" w:hAnsi="Times New Roman" w:eastAsia="Times New Roman" w:cs="Times New Roman"/>
          <w:sz w:val="24"/>
          <w:szCs w:val="24"/>
        </w:rPr>
      </w:r>
      <w:bookmarkStart w:id="347" w:name="_Ref125368313"/>
      <w:r>
        <w:rPr>
          <w:rFonts w:ascii="Times New Roman" w:hAnsi="Times New Roman" w:eastAsia="Times New Roman" w:cs="Times New Roman"/>
          <w:sz w:val="24"/>
          <w:szCs w:val="24"/>
        </w:rPr>
      </w:r>
      <w:bookmarkStart w:id="348" w:name="_Ref125368331"/>
      <w:r>
        <w:rPr>
          <w:rFonts w:ascii="Times New Roman" w:hAnsi="Times New Roman" w:eastAsia="Times New Roman" w:cs="Times New Roman"/>
          <w:sz w:val="24"/>
          <w:szCs w:val="24"/>
        </w:rPr>
      </w:r>
      <w:bookmarkStart w:id="349" w:name="_Ref125369021"/>
      <w:r>
        <w:rPr>
          <w:rFonts w:ascii="Times New Roman" w:hAnsi="Times New Roman" w:eastAsia="Times New Roman" w:cs="Times New Roman"/>
          <w:sz w:val="24"/>
          <w:szCs w:val="24"/>
        </w:rPr>
      </w:r>
      <w:bookmarkStart w:id="350" w:name="_Ref125369438"/>
      <w:r>
        <w:rPr>
          <w:rFonts w:ascii="Times New Roman" w:hAnsi="Times New Roman" w:eastAsia="Times New Roman" w:cs="Times New Roman"/>
          <w:sz w:val="24"/>
          <w:szCs w:val="24"/>
        </w:rPr>
      </w:r>
      <w:bookmarkEnd w:id="333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Порядок и критерии оценки и сопоставления заявок</w:t>
      </w:r>
      <w:bookmarkEnd w:id="334"/>
      <w:r>
        <w:rPr>
          <w:rFonts w:ascii="Times New Roman" w:hAnsi="Times New Roman" w:eastAsia="Times New Roman" w:cs="Times New Roman"/>
          <w:sz w:val="24"/>
          <w:szCs w:val="24"/>
        </w:rPr>
      </w:r>
      <w:bookmarkEnd w:id="335"/>
      <w:r>
        <w:rPr>
          <w:rFonts w:ascii="Times New Roman" w:hAnsi="Times New Roman" w:eastAsia="Times New Roman" w:cs="Times New Roman"/>
          <w:sz w:val="24"/>
          <w:szCs w:val="24"/>
        </w:rPr>
      </w:r>
      <w:bookmarkEnd w:id="336"/>
      <w:r>
        <w:rPr>
          <w:rFonts w:ascii="Times New Roman" w:hAnsi="Times New Roman" w:eastAsia="Times New Roman" w:cs="Times New Roman"/>
          <w:sz w:val="24"/>
          <w:szCs w:val="24"/>
        </w:rPr>
      </w:r>
      <w:bookmarkEnd w:id="337"/>
      <w:r>
        <w:rPr>
          <w:rFonts w:ascii="Times New Roman" w:hAnsi="Times New Roman" w:eastAsia="Times New Roman" w:cs="Times New Roman"/>
          <w:sz w:val="24"/>
          <w:szCs w:val="24"/>
        </w:rPr>
      </w:r>
      <w:bookmarkEnd w:id="338"/>
      <w:r>
        <w:rPr>
          <w:rFonts w:ascii="Times New Roman" w:hAnsi="Times New Roman" w:eastAsia="Times New Roman" w:cs="Times New Roman"/>
          <w:sz w:val="24"/>
          <w:szCs w:val="24"/>
        </w:rPr>
      </w:r>
      <w:bookmarkEnd w:id="339"/>
      <w:r>
        <w:rPr>
          <w:rFonts w:ascii="Times New Roman" w:hAnsi="Times New Roman" w:eastAsia="Times New Roman" w:cs="Times New Roman"/>
          <w:sz w:val="24"/>
          <w:szCs w:val="24"/>
        </w:rPr>
      </w:r>
      <w:bookmarkEnd w:id="340"/>
      <w:r>
        <w:rPr>
          <w:rFonts w:ascii="Times New Roman" w:hAnsi="Times New Roman" w:eastAsia="Times New Roman" w:cs="Times New Roman"/>
          <w:sz w:val="24"/>
          <w:szCs w:val="24"/>
        </w:rPr>
      </w:r>
      <w:bookmarkEnd w:id="341"/>
      <w:r>
        <w:rPr>
          <w:rFonts w:ascii="Times New Roman" w:hAnsi="Times New Roman" w:eastAsia="Times New Roman" w:cs="Times New Roman"/>
          <w:sz w:val="24"/>
          <w:szCs w:val="24"/>
        </w:rPr>
      </w:r>
      <w:bookmarkEnd w:id="342"/>
      <w:r>
        <w:rPr>
          <w:rFonts w:ascii="Times New Roman" w:hAnsi="Times New Roman" w:eastAsia="Times New Roman" w:cs="Times New Roman"/>
          <w:sz w:val="24"/>
          <w:szCs w:val="24"/>
        </w:rPr>
      </w:r>
      <w:bookmarkEnd w:id="343"/>
      <w:r>
        <w:rPr>
          <w:rFonts w:ascii="Times New Roman" w:hAnsi="Times New Roman" w:eastAsia="Times New Roman" w:cs="Times New Roman"/>
          <w:sz w:val="24"/>
          <w:szCs w:val="24"/>
        </w:rPr>
      </w:r>
      <w:bookmarkEnd w:id="344"/>
      <w:r>
        <w:rPr>
          <w:rFonts w:ascii="Times New Roman" w:hAnsi="Times New Roman" w:eastAsia="Times New Roman" w:cs="Times New Roman"/>
          <w:sz w:val="24"/>
          <w:szCs w:val="24"/>
        </w:rPr>
      </w:r>
      <w:bookmarkEnd w:id="345"/>
      <w:r>
        <w:rPr>
          <w:rFonts w:ascii="Times New Roman" w:hAnsi="Times New Roman" w:eastAsia="Times New Roman" w:cs="Times New Roman"/>
          <w:sz w:val="24"/>
          <w:szCs w:val="24"/>
        </w:rPr>
      </w:r>
      <w:bookmarkEnd w:id="346"/>
      <w:r>
        <w:rPr>
          <w:rFonts w:ascii="Times New Roman" w:hAnsi="Times New Roman" w:eastAsia="Times New Roman" w:cs="Times New Roman"/>
          <w:sz w:val="24"/>
          <w:szCs w:val="24"/>
        </w:rPr>
      </w:r>
      <w:bookmarkEnd w:id="347"/>
      <w:r>
        <w:rPr>
          <w:rFonts w:ascii="Times New Roman" w:hAnsi="Times New Roman" w:eastAsia="Times New Roman" w:cs="Times New Roman"/>
          <w:sz w:val="24"/>
          <w:szCs w:val="24"/>
        </w:rPr>
      </w:r>
      <w:bookmarkEnd w:id="348"/>
      <w:r>
        <w:rPr>
          <w:rFonts w:ascii="Times New Roman" w:hAnsi="Times New Roman" w:eastAsia="Times New Roman" w:cs="Times New Roman"/>
          <w:sz w:val="24"/>
          <w:szCs w:val="24"/>
        </w:rPr>
      </w:r>
      <w:bookmarkEnd w:id="349"/>
      <w:r>
        <w:rPr>
          <w:rFonts w:ascii="Times New Roman" w:hAnsi="Times New Roman" w:eastAsia="Times New Roman" w:cs="Times New Roman"/>
          <w:sz w:val="24"/>
          <w:szCs w:val="24"/>
        </w:rPr>
      </w:r>
      <w:bookmarkEnd w:id="350"/>
      <w:r>
        <w:rPr>
          <w:rFonts w:ascii="Times New Roman" w:hAnsi="Times New Roman" w:eastAsia="Times New Roman" w:cs="Times New Roman"/>
          <w:sz w:val="24"/>
          <w:szCs w:val="24"/>
        </w:rPr>
      </w:r>
      <w:bookmarkEnd w:id="41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19" w:name="_Toc62"/>
      <w:r>
        <w:rPr>
          <w:rFonts w:ascii="Times New Roman" w:hAnsi="Times New Roman" w:eastAsia="Times New Roman" w:cs="Times New Roman"/>
          <w:sz w:val="24"/>
          <w:szCs w:val="24"/>
        </w:rPr>
        <w:t xml:space="preserve">Порядок и критерии оценки и сопоставления заявок</w:t>
      </w:r>
      <w:bookmarkEnd w:id="41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Расчет итоговой оценки предпочтительности каждой заявки, успешно прошедшей отборочную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стадию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рассмотрение вторых частей заявок и ценовых предложений,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осуществляется по следующим критериям оценки и в соответствии со следующим порядком оценки предпочтительности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сопоставления заявок: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50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850"/>
        <w:gridCol w:w="1417"/>
        <w:gridCol w:w="1276"/>
        <w:gridCol w:w="1134"/>
        <w:gridCol w:w="2126"/>
        <w:gridCol w:w="7228"/>
      </w:tblGrid>
      <w:tr>
        <w:tblPrEx/>
        <w:trPr>
          <w:cantSplit/>
        </w:trPr>
        <w:tc>
          <w:tcPr>
            <w:shd w:val="clear" w:color="ffffff" w:fill="d5dce4"/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 критерия оценки в структуре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d5dce4"/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Направление 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ffffff" w:fill="d5dce4"/>
            <w:tcBorders>
              <w:bottom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критерия 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d5dce4"/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Значимость критерия 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d5dce4"/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Содержание частного критерия 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d5dce4"/>
            <w:tcW w:w="7228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Расчет оценки предпочтительности заявки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shd w:val="clear" w:color="ffffff" w:fill="d5dce4"/>
            <w:tcW w:w="992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</w:p>
        </w:tc>
        <w:tc>
          <w:tcPr>
            <w:shd w:val="clear" w:color="ffffff" w:fill="d5dce4"/>
            <w:tcW w:w="850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</w:p>
        </w:tc>
        <w:tc>
          <w:tcPr>
            <w:shd w:val="clear" w:color="ffffff" w:fill="d5dce4"/>
            <w:tcW w:w="1417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критерий оценки первого уровня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d5dce4"/>
            <w:tcBorders>
              <w:bottom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критерий оценки второго уровня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d5dce4"/>
            <w:tcW w:w="1134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</w:p>
        </w:tc>
        <w:tc>
          <w:tcPr>
            <w:shd w:val="clear" w:color="ffffff" w:fill="d5dce4"/>
            <w:tcW w:w="2126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</w:p>
        </w:tc>
        <w:tc>
          <w:tcPr>
            <w:shd w:val="clear" w:color="ffffff" w:fill="d5dce4"/>
            <w:tcW w:w="7228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</w:p>
        </w:tc>
      </w:tr>
      <w:tr>
        <w:tblPrEx/>
        <w:trPr/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Цена договора (заявки)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отсутствует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90%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= 0,90)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Чем меньше цена заявки Участника, тем выше предпочтительность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</w:tcBorders>
            <w:tcW w:w="7228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Расчет оценки предпочтительности по частному критерию по методу «Математическая формула, задающая «функцию ценности»»: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eastAsia="Cambria Math" w:cs="Cambria Math"/>
                        <w:sz w:val="24"/>
                        <w:szCs w:val="14"/>
                        <w:lang w:eastAsia="en-US"/>
                      </w:rPr>
                    </m:ctrlPr>
                  </m:sSubPr>
                  <m:e>
                    <m:r>
                      <w:rPr>
                        <w:rFonts w:hint="default" w:ascii="Cambria Math" w:hAnsi="Cambria Math" w:eastAsia="Cambria Math" w:cs="Cambria Math"/>
                        <w:sz w:val="24"/>
                        <w:szCs w:val="24"/>
                        <w:lang w:eastAsia="en-US"/>
                      </w:rPr>
                      <m:rPr/>
                      <m:t>Б</m:t>
                    </m:r>
                  </m:e>
                  <m:sub>
                    <m:r>
                      <w:rPr>
                        <w:rFonts w:hint="default" w:ascii="Cambria Math" w:hAnsi="Cambria Math" w:eastAsia="Cambria Math" w:cs="Cambria Math"/>
                        <w:sz w:val="24"/>
                        <w:szCs w:val="24"/>
                        <w:lang w:val="en-US" w:eastAsia="en-US"/>
                      </w:rPr>
                      <m:rPr/>
                      <m:t>1</m:t>
                    </m:r>
                  </m:sub>
                </m:sSub>
                <m:r>
                  <w:rPr>
                    <w:rFonts w:hint="default" w:ascii="Cambria Math" w:hAnsi="Cambria Math" w:eastAsia="Cambria Math" w:cs="Cambria Math"/>
                    <w:sz w:val="24"/>
                    <w:szCs w:val="24"/>
                    <w:lang w:eastAsia="en-US"/>
                  </w:rPr>
                  <m:rPr>
                    <m:sty m:val="p"/>
                  </m:rPr>
                  <m:t>=</m:t>
                </m:r>
                <m:f>
                  <m:fPr>
                    <m:ctrlPr>
                      <w:rPr>
                        <w:rFonts w:ascii="Cambria Math" w:hAnsi="Cambria Math" w:eastAsia="Cambria Math" w:cs="Cambria Math"/>
                        <w:sz w:val="24"/>
                        <w:szCs w:val="14"/>
                        <w:lang w:eastAsia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eastAsia="Cambria Math" w:cs="Cambria Math"/>
                            <w:sz w:val="24"/>
                            <w:szCs w:val="14"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hint="default" w:ascii="Cambria Math" w:hAnsi="Cambria Math" w:eastAsia="Cambria Math" w:cs="Cambria Math"/>
                            <w:sz w:val="24"/>
                            <w:szCs w:val="24"/>
                            <w:lang w:eastAsia="en-US"/>
                          </w:rPr>
                          <m:rPr/>
                          <m:t>ЦЕНА</m:t>
                        </m:r>
                      </m:e>
                      <m:sub>
                        <m:r>
                          <w:rPr>
                            <w:rFonts w:hint="default" w:ascii="Cambria Math" w:hAnsi="Cambria Math" w:eastAsia="Cambria Math" w:cs="Cambria Math"/>
                            <w:sz w:val="24"/>
                            <w:szCs w:val="24"/>
                            <w:lang w:val="en-US" w:eastAsia="en-US"/>
                          </w:rPr>
                          <m:rPr/>
                          <m:t>min</m:t>
                        </m:r>
                      </m:sub>
                    </m:sSub>
                  </m:num>
                  <m:den>
                    <m:r>
                      <w:rPr>
                        <w:rFonts w:hint="default" w:ascii="Cambria Math" w:hAnsi="Cambria Math" w:eastAsia="Cambria Math" w:cs="Cambria Math"/>
                        <w:sz w:val="24"/>
                        <w:szCs w:val="24"/>
                        <w:lang w:eastAsia="en-US"/>
                      </w:rPr>
                      <m:rPr>
                        <m:sty m:val="p"/>
                      </m:rPr>
                      <m:t>ЦЕНА</m:t>
                    </m:r>
                    <m:r>
                      <w:rPr>
                        <w:rFonts w:hint="default" w:ascii="Cambria Math" w:hAnsi="Cambria Math" w:eastAsia="Cambria Math" w:cs="Cambria Math"/>
                        <w:sz w:val="24"/>
                        <w:szCs w:val="24"/>
                        <w:lang w:val="en-US" w:eastAsia="en-US"/>
                      </w:rPr>
                      <m:rPr/>
                      <m:t>i</m:t>
                    </m:r>
                  </m:den>
                </m:f>
                <m:r>
                  <w:rPr>
                    <w:rFonts w:hint="default" w:ascii="Cambria Math" w:hAnsi="Cambria Math" w:eastAsia="Cambria Math" w:cs="Cambria Math"/>
                    <w:sz w:val="24"/>
                    <w:szCs w:val="24"/>
                    <w:lang w:eastAsia="en-US"/>
                  </w:rPr>
                  <m:rPr>
                    <m:sty m:val="p"/>
                  </m:rPr>
                  <m:t>×Ш,</m:t>
                </m:r>
              </m:oMath>
            </m:oMathPara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где: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jc w:val="both"/>
              <w:keepLines/>
              <w:keepNext/>
              <w:spacing w:before="0"/>
              <w:tabs>
                <w:tab w:val="left" w:pos="742" w:leader="none"/>
                <w:tab w:val="left" w:pos="116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рассчитанная оценка предпочтительности по данному частному критерию оценки в баллах;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jc w:val="both"/>
              <w:keepLines/>
              <w:keepNext/>
              <w:spacing w:before="0"/>
              <w:tabs>
                <w:tab w:val="left" w:pos="742" w:leader="none"/>
                <w:tab w:val="left" w:pos="116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m:oMath>
              <m:sSub>
                <m:sSubPr>
                  <m:ctrlPr>
                    <w:rPr>
                      <w:rFonts w:ascii="Cambria Math" w:hAnsi="Cambria Math" w:eastAsia="Cambria Math" w:cs="Cambria Math"/>
                      <w:sz w:val="24"/>
                      <w:szCs w:val="14"/>
                      <w:lang w:eastAsia="en-US"/>
                    </w:rPr>
                  </m:ctrlPr>
                </m:sSubPr>
                <m:e>
                  <m:r>
                    <w:rPr>
                      <w:rFonts w:hint="default" w:ascii="Cambria Math" w:hAnsi="Cambria Math" w:eastAsia="Cambria Math" w:cs="Cambria Math"/>
                      <w:sz w:val="24"/>
                      <w:szCs w:val="24"/>
                      <w:lang w:eastAsia="en-US"/>
                    </w:rPr>
                    <m:rPr/>
                    <m:t>ЦЕНА</m:t>
                  </m:r>
                </m:e>
                <m:sub>
                  <m:r>
                    <w:rPr>
                      <w:rFonts w:hint="default" w:ascii="Cambria Math" w:hAnsi="Cambria Math" w:eastAsia="Cambria Math" w:cs="Cambria Math"/>
                      <w:sz w:val="24"/>
                      <w:szCs w:val="24"/>
                      <w:lang w:val="en-US" w:eastAsia="en-US"/>
                    </w:rPr>
                    <m:rPr/>
                    <m:t>i</m:t>
                  </m:r>
                </m:sub>
              </m:sSub>
            </m:oMath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– цена договора (заявки), указанная в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-той заявке (в Коммерческом 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редложении) по установленной в 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окументации о закупке форме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№3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допущенного участника, руб. без учета НДС;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jc w:val="both"/>
              <w:keepLines/>
              <w:keepNext/>
              <w:spacing w:before="0"/>
              <w:tabs>
                <w:tab w:val="left" w:pos="742" w:leader="none"/>
                <w:tab w:val="left" w:pos="116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m:oMath>
              <m:sSub>
                <m:sSubPr>
                  <m:ctrlPr>
                    <w:rPr>
                      <w:rFonts w:ascii="Cambria Math" w:hAnsi="Cambria Math" w:eastAsia="Cambria Math" w:cs="Cambria Math"/>
                      <w:sz w:val="24"/>
                      <w:szCs w:val="14"/>
                      <w:lang w:eastAsia="en-US"/>
                    </w:rPr>
                  </m:ctrlPr>
                </m:sSubPr>
                <m:e>
                  <m:r>
                    <w:rPr>
                      <w:rFonts w:hint="default" w:ascii="Cambria Math" w:hAnsi="Cambria Math" w:eastAsia="Cambria Math" w:cs="Cambria Math"/>
                      <w:sz w:val="24"/>
                      <w:szCs w:val="24"/>
                      <w:lang w:eastAsia="en-US"/>
                    </w:rPr>
                    <m:rPr/>
                    <m:t>ЦЕНА</m:t>
                  </m:r>
                </m:e>
                <m:sub>
                  <m:r>
                    <w:rPr>
                      <w:rFonts w:hint="default" w:ascii="Cambria Math" w:hAnsi="Cambria Math" w:eastAsia="Cambria Math" w:cs="Cambria Math"/>
                      <w:sz w:val="24"/>
                      <w:szCs w:val="24"/>
                      <w:lang w:val="en-US" w:eastAsia="en-US"/>
                    </w:rPr>
                    <m:rPr/>
                    <m:t>min</m:t>
                  </m:r>
                </m:sub>
              </m:sSub>
            </m:oMath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минимальная цена договора (заявки), среди всех допущенных заявок участников, руб. без учета НДС;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jc w:val="both"/>
              <w:keepLines/>
              <w:keepNext/>
              <w:spacing w:before="0"/>
              <w:tabs>
                <w:tab w:val="left" w:pos="0" w:leader="none"/>
                <w:tab w:val="left" w:pos="34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максимально возможный балл (максимальная возможная оценка предпочтительности) по шкале оценок.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(Ш=5).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both"/>
              <w:spacing w:before="96" w:after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Оценка предпочтительности заявок осуществляется в едином базисе сопоставления ценовых (стоимостных) предложений,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установленном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в документации о закупке: без учета НДС.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49"/>
              <w:jc w:val="left"/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Шкала оценок от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0 до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5 баллов.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Квалификация (предпочтительность) участника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отсутствует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5%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= 0,05)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u w:val="singl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  <w:t xml:space="preserve">Ч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  <w:t xml:space="preserve">ем больше опыт выполнения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  <w:t xml:space="preserve"> аналогичных профилю закупки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работ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yellow"/>
              </w:rPr>
              <w:t xml:space="preserve">по монтажу и пусконаладке комплекса инженерно-технических средств физической защиты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yellow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  <w:t xml:space="preserve">за 5 лет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  <w:t xml:space="preserve"> предшест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  <w:t xml:space="preserve">вующих дате подачи заявки, тем выше предпочтительность.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u w:val="singl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u w:val="single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</w:tcBorders>
            <w:tcW w:w="7228" w:type="dxa"/>
            <w:textDirection w:val="lrTb"/>
            <w:noWrap w:val="false"/>
          </w:tcPr>
          <w:p>
            <w:pPr>
              <w:ind w:firstLine="567"/>
              <w:jc w:val="both"/>
              <w:spacing w:before="0" w:beforeAutospacing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асчет оценки предпочтительности по частному критерию по методу «Оценка предпочтительности посредством однозначной числовой шкалы измерений»: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1199"/>
              <w:numPr>
                <w:ilvl w:val="7"/>
                <w:numId w:val="42"/>
              </w:numPr>
              <w:ind w:firstLine="567"/>
              <w:jc w:val="both"/>
              <w:spacing w:before="0" w:beforeAutospacing="0"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Для целей проведения оценки по данному критерию Учас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тник должен предоставить в составе 2-ой части заявки (в Справке об опыте Участника по установленной в Документации о закупке форме) сведения о ранее исполненных договорах, подтверждающих наличие совокупного опыта (в рамках одного или нескольких договоров) 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  <w:t xml:space="preserve">выполнения работ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 последние 5 лет,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предшествующих дате подачи заявки Участником, с учетом правоприемственности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  <w:t xml:space="preserve">с приложением следующих подтверждающих документов: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r>
          </w:p>
          <w:p>
            <w:pPr>
              <w:ind w:firstLine="567"/>
              <w:jc w:val="both"/>
              <w:spacing w:before="0" w:before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  <w:t xml:space="preserve">- копии договоров, подписанных с обеих сторон и скрепленных печатью; 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  <w:p>
            <w:pPr>
              <w:ind w:firstLine="567"/>
              <w:jc w:val="both"/>
              <w:spacing w:before="0" w:before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  <w:t xml:space="preserve"> -копии документов, предусмотренных 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  <w:t xml:space="preserve">ребованиями договора, подтверждающих факт его исполнения, с указанием стоимости и наименования выполненных работ, подписанных с обеих сторон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  <w:t xml:space="preserve">и скрепленных печатью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  <w:p>
            <w:pPr>
              <w:ind w:firstLine="567"/>
              <w:jc w:val="both"/>
              <w:spacing w:before="0" w:before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 рассмотрению не принимаются подтверждающие документы, не указанные в «Справке об опыте Участника», а также сведе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я, не позволяющие явным (однозначным) образом определить опыт Участника: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1199"/>
              <w:numPr>
                <w:ilvl w:val="7"/>
                <w:numId w:val="43"/>
              </w:numPr>
              <w:ind w:firstLine="567"/>
              <w:jc w:val="both"/>
              <w:spacing w:before="0" w:beforeAutospacing="0"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Порядок осуществления оценки (значение оцениваемого параметра), в зависимости от предоставленных в 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lang w:val="en-US" w:eastAsia="ru-RU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-ой заявке сведений о наличии у Участника совокупного опыта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 последние 5 лет, на общую сумму: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tbl>
            <w:tblPr>
              <w:tblW w:w="708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4"/>
              <w:gridCol w:w="6196"/>
            </w:tblGrid>
            <w:tr>
              <w:tblPrEx/>
              <w:trPr>
                <w:cantSplit/>
                <w:trHeight w:val="296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84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en-US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 = 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W w:w="6196" w:type="dxa"/>
                  <w:textDirection w:val="lrTb"/>
                  <w:noWrap w:val="false"/>
                </w:tcPr>
                <w:p>
                  <w:pPr>
                    <w:contextualSpacing w:val="0"/>
                    <w:ind w:left="0" w:right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0% (Опыт отсутствует/ Опыт не подтвержден)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cantSplit/>
                <w:trHeight w:val="406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84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contextualSpacing w:val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en-US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 = 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W w:w="6196" w:type="dxa"/>
                  <w:textDirection w:val="lrTb"/>
                  <w:noWrap w:val="false"/>
                </w:tcPr>
                <w:p>
                  <w:pPr>
                    <w:numPr>
                      <w:ilvl w:val="4"/>
                      <w:numId w:val="0"/>
                    </w:numPr>
                    <w:contextualSpacing w:val="0"/>
                    <w:ind w:left="71" w:right="137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более 0 % НМЦ «без учета НДС», но менее 20% НМЦ «без учета НДС»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(включительно);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cantSplit/>
                <w:trHeight w:val="406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84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contextualSpacing w:val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en-US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 = 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W w:w="6196" w:type="dxa"/>
                  <w:textDirection w:val="lrTb"/>
                  <w:noWrap w:val="false"/>
                </w:tcPr>
                <w:p>
                  <w:pPr>
                    <w:numPr>
                      <w:ilvl w:val="4"/>
                      <w:numId w:val="0"/>
                    </w:numPr>
                    <w:contextualSpacing w:val="0"/>
                    <w:ind w:left="71" w:right="137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более 20 % НМЦ «без учета НДС», но менее 40 % НМЦ «без учета НДС»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(включительно);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cantSplit/>
                <w:trHeight w:val="406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84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contextualSpacing w:val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en-US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 = 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W w:w="6196" w:type="dxa"/>
                  <w:textDirection w:val="lrTb"/>
                  <w:noWrap w:val="false"/>
                </w:tcPr>
                <w:p>
                  <w:pPr>
                    <w:numPr>
                      <w:ilvl w:val="4"/>
                      <w:numId w:val="0"/>
                    </w:numPr>
                    <w:contextualSpacing w:val="0"/>
                    <w:ind w:left="71" w:right="137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более 40 % НМЦ «без учета НДС», но менее 60 % НМЦ «без учета НДС»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(включительно);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cantSplit/>
                <w:trHeight w:val="406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84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contextualSpacing w:val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en-US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 = 4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W w:w="6196" w:type="dxa"/>
                  <w:textDirection w:val="lrTb"/>
                  <w:noWrap w:val="false"/>
                </w:tcPr>
                <w:p>
                  <w:pPr>
                    <w:numPr>
                      <w:ilvl w:val="4"/>
                      <w:numId w:val="0"/>
                    </w:numPr>
                    <w:contextualSpacing w:val="0"/>
                    <w:ind w:left="71" w:right="137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более 60 % НМЦ «без учета НДС», но менее 80 % НМЦ «без учета НДС»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(включительно);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cantSplit/>
                <w:trHeight w:val="309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84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contextualSpacing w:val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en-US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en-US"/>
                    </w:rPr>
                    <w:t xml:space="preserve"> = 5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6196" w:type="dxa"/>
                  <w:textDirection w:val="lrTb"/>
                  <w:noWrap w:val="false"/>
                </w:tcPr>
                <w:p>
                  <w:pPr>
                    <w:numPr>
                      <w:ilvl w:val="4"/>
                      <w:numId w:val="0"/>
                    </w:numPr>
                    <w:contextualSpacing w:val="0"/>
                    <w:ind w:left="71" w:right="137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выше 80 % НМЦ «без учета НДС».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1199"/>
              <w:contextualSpacing w:val="0"/>
              <w:jc w:val="left"/>
              <w:keepLines/>
              <w:keepNext/>
              <w:spacing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  <w:p>
            <w:pPr>
              <w:contextualSpacing w:val="0"/>
              <w:jc w:val="left"/>
              <w:keepLines/>
              <w:keepNext/>
              <w:spacing w:before="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где: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before="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НМЦ–начальная (максимальная) цена договора, установленная в документации о закупке;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before="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</w:rPr>
              <w:t xml:space="preserve">2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 рассчитанная оценка предпочтительности по данному критерию оценки в баллах.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both"/>
              <w:spacing w:before="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Опыт, несоответствующий предмету закупки, не оценивается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contextualSpacing w:val="0"/>
              <w:jc w:val="left"/>
              <w:keepLines/>
              <w:keepNext/>
              <w:spacing w:before="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Шкала оценок от 0 до 5 баллов.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633"/>
        </w:trPr>
        <w:tc>
          <w:tcPr>
            <w:shd w:val="clear" w:color="ffffff" w:fill="ffffff"/>
            <w:tcW w:w="992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850" w:type="dxa"/>
            <w:vMerge w:val="restart"/>
            <w:textDirection w:val="lrTb"/>
            <w:noWrap w:val="false"/>
          </w:tcPr>
          <w:p>
            <w:pPr>
              <w:pStyle w:val="1199"/>
              <w:numPr>
                <w:ilvl w:val="7"/>
                <w:numId w:val="33"/>
              </w:numPr>
              <w:ind w:left="0" w:firstLine="0"/>
              <w:jc w:val="center"/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Неценовой критерий оценки первого уровня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/ 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pStyle w:val="1199"/>
              <w:numPr>
                <w:ilvl w:val="7"/>
                <w:numId w:val="34"/>
              </w:numPr>
              <w:ind w:left="0" w:firstLine="0"/>
              <w:jc w:val="center"/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Финансовое состояние (устойчивость) Участника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отсутствует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1199"/>
              <w:numPr>
                <w:ilvl w:val="7"/>
                <w:numId w:val="35"/>
              </w:numPr>
              <w:ind w:left="0" w:firstLine="0"/>
              <w:jc w:val="center"/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5%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/>
              <w:t xml:space="preserve">(В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= 0,05)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1199"/>
              <w:numPr>
                <w:ilvl w:val="7"/>
                <w:numId w:val="36"/>
              </w:numPr>
              <w:ind w:left="0" w:firstLine="0"/>
              <w:jc w:val="center"/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Чем выше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результат оценки финансового состояния (устойчивости)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частника, тем выше предпочтительность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</w:tcBorders>
            <w:tcW w:w="7228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Расчет оценки предпочтительности по частному критерию по методу «Оценка предпочтительности посредством однозначной числовой шкалы измерений»: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both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Порядок осуществления оценки (значение оцениваемого параметра), в зависимости 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полученного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Участником (с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en-US" w:eastAsia="ru-RU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заяв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кой) значения расчетного балла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интегрального показателя финансового состояния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установленной соответствующей характеристи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его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финансового состояния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кризисное / неустойчивое / 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довлетворительное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по результатам проведенной в рамках аккредитации оценки его финансового состояния (устойчивости), при этом: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37"/>
              </w:numPr>
              <w:ind w:left="346" w:hanging="284"/>
              <w:jc w:val="both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порядок проведения оценки финансового состояния (устойчивости)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Участника</w:t>
            </w:r>
            <w:r>
              <w:rPr>
                <w:rStyle w:val="1157"/>
                <w:rFonts w:ascii="Times New Roman" w:hAnsi="Times New Roman" w:eastAsia="Times New Roman" w:cs="Times New Roman"/>
                <w:sz w:val="24"/>
                <w:szCs w:val="24"/>
              </w:rPr>
              <w:footnoteReference w:id="14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 Приложением 4 к Положению об аккредитации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37"/>
              </w:numPr>
              <w:ind w:left="346" w:hanging="284"/>
              <w:jc w:val="both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исходными данными для расчета интегрального показателя финансового состояния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являются сведения, представленные в опубликованной в государственном информационном ресурсе бухгалтерской (финансовой) отчетности организаций (</w:t>
            </w:r>
            <w:hyperlink r:id="rId24" w:tooltip="https://bo.nalog.ru" w:history="1">
              <w:r>
                <w:rPr>
                  <w:rStyle w:val="1159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https://bo.nalog.ru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за предыдущий отчетный период (год).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346"/>
              <w:jc w:val="both"/>
              <w:spacing w:before="12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сли Участник в соответствии с законодательством РФ не размещает сведения о своей бухгалтерской (финансовой) отчетности (по формам ОКУД 0710001, 0710002) в упомянутом государственном информационном ресурсе – оценка его финансового состояния производится на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сновании электронной копии бухгалтерского баланса (ОКУД 0710001) и отчета о финансовых результатах (ОКУД 0710002) за последний завершенный финансовый год, с отметкой налогового органа о приеме или с приложением квитанции о приеме и (или) извещения о вводе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сведений налоговым органом, представленной в составе Заявки на аккредитацию (или отдельно в составе заявки на участие в закупке, если ранее при прохождении аккредитации не были представлены);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ind w:left="346"/>
              <w:jc w:val="both"/>
              <w:spacing w:before="12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сли Участник в соответствии с законодательством формирует отчетность по формам ОКУД 0503730, 0503721 (и (или) освобожден от предоставления дополнительного экземпляра отчетности для размещения на официальном сайте ФНС России) – оценка его финансового состоя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ния производится на основании представленных в составе заявки: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ind w:left="346"/>
              <w:jc w:val="both"/>
              <w:spacing w:before="12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−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электронной копии бухгалтерской (финансовой) отчетности по формам ОКУД 0503730, 0503721 за последний завершенный и предшествующий ему финансовый год, с отметкой налогового органа о приеме или с приложением квитанции о приеме и (или) извещения о вводе свед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ений налоговым органом;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ind w:left="346"/>
              <w:jc w:val="both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−</w:t>
              <w:tab/>
              <w:t xml:space="preserve">дополнительных сведений о размере всех требуемых показателей согласно данным бухгалтерской (финансовой) отчетности по установленной форме (Приложение № 5 к Положению об аккредитации).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346" w:firstLine="0"/>
              <w:jc w:val="both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Оценка предпочтительности по частному критерию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осуществляется в соответствии со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кал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tbl>
            <w:tblPr>
              <w:tblW w:w="6978" w:type="dxa"/>
              <w:tblBorders>
                <w:insideH w:val="single" w:color="000000" w:sz="4" w:space="0"/>
                <w:insideV w:val="single" w:color="000000" w:sz="4" w:space="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"/>
              <w:gridCol w:w="6094"/>
            </w:tblGrid>
            <w:tr>
              <w:tblPrEx/>
              <w:trPr>
                <w:cantSplit/>
              </w:trPr>
              <w:tc>
                <w:tcPr>
                  <w:tcBorders>
                    <w:bottom w:val="single" w:color="000000" w:sz="4" w:space="0"/>
                    <w:right w:val="single" w:color="000000" w:sz="4" w:space="0"/>
                  </w:tcBorders>
                  <w:tcW w:w="884" w:type="dxa"/>
                  <w:textDirection w:val="lrTb"/>
                  <w:noWrap w:val="false"/>
                </w:tcPr>
                <w:p>
                  <w:pPr>
                    <w:pStyle w:val="1199"/>
                    <w:numPr>
                      <w:ilvl w:val="7"/>
                      <w:numId w:val="38"/>
                    </w:numPr>
                    <w:ind w:left="0" w:firstLine="0"/>
                    <w:jc w:val="center"/>
                    <w:spacing w:before="40" w:after="4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 = 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left w:val="single" w:color="000000" w:sz="4" w:space="0"/>
                    <w:bottom w:val="single" w:color="000000" w:sz="4" w:space="0"/>
                  </w:tcBorders>
                  <w:tcW w:w="6094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Результат оценки финансового состояния (устойчивости):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менее 0,45 балл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а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–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Кризисное финансовое состояние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  <w:p>
                  <w:pPr>
                    <w:numPr>
                      <w:ilvl w:val="7"/>
                      <w:numId w:val="0"/>
                    </w:numPr>
                    <w:jc w:val="both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i/>
                      <w:iCs/>
                      <w:sz w:val="24"/>
                      <w:szCs w:val="24"/>
                    </w:rPr>
                    <w:t xml:space="preserve">или</w:t>
                  </w:r>
                  <w:r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r>
                </w:p>
                <w:p>
                  <w:pPr>
                    <w:numPr>
                      <w:ilvl w:val="7"/>
                      <w:numId w:val="0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в случае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отсутстви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я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исходных данных для оценки финансового состояния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Участника, в том числе если он является: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  <w:p>
                  <w:pPr>
                    <w:pStyle w:val="1196"/>
                    <w:numPr>
                      <w:ilvl w:val="4"/>
                      <w:numId w:val="38"/>
                    </w:numPr>
                    <w:ind w:left="209" w:hanging="209"/>
                    <w:jc w:val="both"/>
                    <w:spacing w:before="40" w:after="4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вновь созданным юридическим лицом, которое на дату подачи заявки на участие в закупке в соответствии с законодательством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РФ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не предоставил в налоговые органы бухгалтерскую (финансовую) отчетность за завершенный финансовый год;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  <w:p>
                  <w:pPr>
                    <w:pStyle w:val="1196"/>
                    <w:numPr>
                      <w:ilvl w:val="4"/>
                      <w:numId w:val="38"/>
                    </w:numPr>
                    <w:ind w:left="209" w:hanging="209"/>
                    <w:jc w:val="both"/>
                    <w:spacing w:before="40" w:after="4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физическ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им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лиц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ом (индивидуальным предпринимателем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и/или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применяющи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м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специальный налоговый режим «Налог на профессиональный доход»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),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не ведущ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им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бухгалтерскую (финансовую) отчетность;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884" w:type="dxa"/>
                  <w:textDirection w:val="lrTb"/>
                  <w:noWrap w:val="false"/>
                </w:tcPr>
                <w:p>
                  <w:pPr>
                    <w:pStyle w:val="1199"/>
                    <w:numPr>
                      <w:ilvl w:val="7"/>
                      <w:numId w:val="38"/>
                    </w:numPr>
                    <w:ind w:left="0" w:firstLine="0"/>
                    <w:jc w:val="center"/>
                    <w:spacing w:before="40" w:after="4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  <w:tcW w:w="6094" w:type="dxa"/>
                  <w:textDirection w:val="lrTb"/>
                  <w:noWrap w:val="false"/>
                </w:tcPr>
                <w:p>
                  <w:pPr>
                    <w:pStyle w:val="1196"/>
                    <w:numPr>
                      <w:ilvl w:val="0"/>
                      <w:numId w:val="0"/>
                    </w:numPr>
                    <w:jc w:val="left"/>
                    <w:spacing w:before="40" w:after="4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Результат оценки финансового состояния (устойчивости):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от 0,45 балл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а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включительно до 0,90 балл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а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включительно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–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Неустойчивое финансовое состояние;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884" w:type="dxa"/>
                  <w:textDirection w:val="lrTb"/>
                  <w:noWrap w:val="false"/>
                </w:tcPr>
                <w:p>
                  <w:pPr>
                    <w:pStyle w:val="1199"/>
                    <w:numPr>
                      <w:ilvl w:val="7"/>
                      <w:numId w:val="38"/>
                    </w:numPr>
                    <w:ind w:left="0" w:firstLine="0"/>
                    <w:jc w:val="center"/>
                    <w:spacing w:before="40" w:after="4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vertAlign w:val="subscript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5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  <w:tcW w:w="6094" w:type="dxa"/>
                  <w:textDirection w:val="lrTb"/>
                  <w:noWrap w:val="false"/>
                </w:tcPr>
                <w:p>
                  <w:pPr>
                    <w:pStyle w:val="1196"/>
                    <w:numPr>
                      <w:ilvl w:val="0"/>
                      <w:numId w:val="0"/>
                    </w:numPr>
                    <w:jc w:val="left"/>
                    <w:spacing w:before="40" w:after="4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Результат оценки финансового состояния (устойчивости): б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олее 0,90 балл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а –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Удовлетворительное финансовое состояние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1198"/>
              <w:numPr>
                <w:ilvl w:val="6"/>
                <w:numId w:val="38"/>
              </w:numPr>
              <w:ind w:left="0" w:firstLine="0"/>
              <w:jc w:val="left"/>
              <w:spacing w:before="96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где: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98"/>
              <w:numPr>
                <w:ilvl w:val="6"/>
                <w:numId w:val="38"/>
              </w:numPr>
              <w:ind w:left="349" w:hanging="349"/>
              <w:jc w:val="left"/>
              <w:spacing w:before="0" w:line="240" w:lineRule="auto"/>
              <w:tabs>
                <w:tab w:val="left" w:pos="742" w:leader="none"/>
                <w:tab w:val="left" w:pos="116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  <w:t xml:space="preserve">рассчитанная оценка предпочтительности по данному частному критерию оценки в баллах.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200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случае участия в закупке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енерального подрядчика – балл по данному критерию присваивается исходя из оценки финансового состояния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енерального подрядчика без учета субподрядчиков.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99"/>
              <w:numPr>
                <w:ilvl w:val="7"/>
                <w:numId w:val="38"/>
              </w:numPr>
              <w:ind w:left="0" w:firstLine="0"/>
              <w:jc w:val="left"/>
              <w:spacing w:before="96" w:after="96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Шкала оценок от 0 до 5 баллов.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cantSplit/>
          <w:trHeight w:val="1312"/>
        </w:trPr>
        <w:tc>
          <w:tcPr>
            <w:gridSpan w:val="4"/>
            <w:shd w:val="clear" w:color="ffffff" w:fill="ffffff"/>
            <w:tcW w:w="4535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right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right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7"/>
                <w:numId w:val="0"/>
              </w:numPr>
              <w:jc w:val="right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Итоговая оценка предпочтительности заявки: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ffffff" w:fill="ffffff"/>
            <w:tcW w:w="10488" w:type="dxa"/>
            <w:textDirection w:val="lrTb"/>
            <w:noWrap w:val="false"/>
          </w:tcPr>
          <w:p>
            <w:pPr>
              <w:numPr>
                <w:ilvl w:val="6"/>
                <w:numId w:val="0"/>
              </w:numPr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Расчет итоговой оценки предпочтительности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en-US" w:eastAsia="en-US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-ой заявки: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eastAsia="Cambria Math" w:cs="Cambria Math"/>
                        <w:sz w:val="24"/>
                        <w:szCs w:val="14"/>
                        <w:lang w:eastAsia="en-US"/>
                      </w:rPr>
                    </m:ctrlPr>
                  </m:sSubPr>
                  <m:e>
                    <m:r>
                      <w:rPr>
                        <w:rFonts w:hint="default" w:ascii="Cambria Math" w:hAnsi="Cambria Math" w:eastAsia="Cambria Math" w:cs="Cambria Math"/>
                        <w:sz w:val="24"/>
                        <w:szCs w:val="24"/>
                        <w:lang w:eastAsia="en-US"/>
                      </w:rPr>
                      <m:rPr>
                        <m:sty m:val="p"/>
                      </m:rPr>
                      <m:t>Б</m:t>
                    </m:r>
                  </m:e>
                  <m:sub>
                    <m:r>
                      <w:rPr>
                        <w:rFonts w:hint="default" w:ascii="Cambria Math" w:hAnsi="Cambria Math" w:eastAsia="Cambria Math" w:cs="Cambria Math"/>
                        <w:sz w:val="24"/>
                        <w:szCs w:val="24"/>
                        <w:lang w:eastAsia="en-US"/>
                      </w:rPr>
                      <m:rPr>
                        <m:sty m:val="p"/>
                      </m:rPr>
                      <m:t>ИТОГ</m:t>
                    </m:r>
                  </m:sub>
                </m:sSub>
                <m:r>
                  <w:rPr>
                    <w:rFonts w:hint="default" w:ascii="Cambria Math" w:hAnsi="Cambria Math" w:eastAsia="Cambria Math" w:cs="Cambria Math"/>
                    <w:sz w:val="24"/>
                    <w:szCs w:val="24"/>
                    <w:lang w:eastAsia="en-US"/>
                  </w:rPr>
                  <m:rPr>
                    <m:sty m:val="p"/>
                  </m:rPr>
                  <m:t>=</m:t>
                </m:r>
                <m:nary>
                  <m:naryPr>
                    <m:chr m:val="∑"/>
                    <m:grow m:val="off"/>
                    <m:limLoc m:val="undOvr"/>
                    <m:subHide m:val="on"/>
                    <m:supHide m:val="on"/>
                    <m:ctrlPr>
                      <w:rPr>
                        <w:rFonts w:ascii="Cambria Math" w:hAnsi="Cambria Math" w:eastAsia="Cambria Math" w:cs="Cambria Math"/>
                        <w:sz w:val="24"/>
                        <w:szCs w:val="14"/>
                        <w:lang w:eastAsia="en-US"/>
                      </w:rPr>
                    </m:ctrlPr>
                  </m:naryPr>
                  <m:sub/>
                  <m:sup/>
                  <m:e>
                    <m:d>
                      <m:dPr>
                        <m:ctrlPr>
                          <w:rPr>
                            <w:rFonts w:ascii="Cambria Math" w:hAnsi="Cambria Math" w:eastAsia="Cambria Math" w:cs="Cambria Math"/>
                            <w:sz w:val="24"/>
                            <w:szCs w:val="14"/>
                            <w:lang w:eastAsia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eastAsia="Cambria Math" w:cs="Cambria Math"/>
                                <w:sz w:val="24"/>
                                <w:szCs w:val="14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hint="default" w:ascii="Cambria Math" w:hAnsi="Cambria Math" w:eastAsia="Cambria Math" w:cs="Cambria Math"/>
                                <w:sz w:val="24"/>
                                <w:szCs w:val="24"/>
                                <w:lang w:eastAsia="en-US"/>
                              </w:rPr>
                              <m:rPr>
                                <m:sty m:val="p"/>
                              </m:rPr>
                              <m:t>Б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 w:eastAsia="Cambria Math" w:cs="Cambria Math"/>
                                    <w:sz w:val="24"/>
                                    <w:szCs w:val="14"/>
                                    <w:lang w:eastAsia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hint="default" w:ascii="Cambria Math" w:hAnsi="Cambria Math" w:eastAsia="Cambria Math" w:cs="Cambria Math"/>
                                    <w:sz w:val="24"/>
                                    <w:szCs w:val="24"/>
                                    <w:lang w:eastAsia="en-US"/>
                                  </w:rPr>
                                  <m:rPr>
                                    <m:sty m:val="p"/>
                                  </m:rPr>
                                  <m:t>1 уровень</m:t>
                                </m:r>
                              </m:e>
                              <m:sub>
                                <m:r>
                                  <w:rPr>
                                    <w:rFonts w:hint="default" w:ascii="Cambria Math" w:hAnsi="Cambria Math" w:eastAsia="Cambria Math" w:cs="Cambria Math"/>
                                    <w:sz w:val="24"/>
                                    <w:szCs w:val="24"/>
                                    <w:lang w:val="en-US" w:eastAsia="en-US"/>
                                  </w:rPr>
                                  <m:rPr>
                                    <m:sty m:val="p"/>
                                  </m:rPr>
                                  <m:t>k</m:t>
                                </m:r>
                              </m:sub>
                            </m:sSub>
                          </m:sub>
                        </m:sSub>
                        <m:r>
                          <w:rPr>
                            <w:rFonts w:hint="default" w:ascii="Cambria Math" w:hAnsi="Cambria Math" w:eastAsia="Cambria Math" w:cs="Cambria Math"/>
                            <w:sz w:val="24"/>
                            <w:szCs w:val="24"/>
                            <w:lang w:eastAsia="en-US"/>
                          </w:rPr>
                          <m:rPr>
                            <m:sty m:val="p"/>
                          </m:rPr>
                          <m:t>×</m:t>
                        </m:r>
                        <m:sSub>
                          <m:sSubPr>
                            <m:ctrlPr>
                              <w:rPr>
                                <w:rFonts w:ascii="Cambria Math" w:hAnsi="Cambria Math" w:eastAsia="Cambria Math" w:cs="Cambria Math"/>
                                <w:sz w:val="24"/>
                                <w:szCs w:val="14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hint="default" w:ascii="Cambria Math" w:hAnsi="Cambria Math" w:eastAsia="Cambria Math" w:cs="Cambria Math"/>
                                <w:sz w:val="24"/>
                                <w:szCs w:val="24"/>
                                <w:lang w:eastAsia="en-US"/>
                              </w:rPr>
                              <m:rPr>
                                <m:sty m:val="p"/>
                              </m:rPr>
                              <m:t>В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 w:eastAsia="Cambria Math" w:cs="Cambria Math"/>
                                    <w:sz w:val="24"/>
                                    <w:szCs w:val="14"/>
                                    <w:lang w:eastAsia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hint="default" w:ascii="Cambria Math" w:hAnsi="Cambria Math" w:eastAsia="Cambria Math" w:cs="Cambria Math"/>
                                    <w:sz w:val="24"/>
                                    <w:szCs w:val="24"/>
                                    <w:lang w:eastAsia="en-US"/>
                                  </w:rPr>
                                  <m:rPr>
                                    <m:sty m:val="p"/>
                                  </m:rPr>
                                  <m:t>1 уровнь</m:t>
                                </m:r>
                              </m:e>
                              <m:sub>
                                <m:r>
                                  <w:rPr>
                                    <w:rFonts w:hint="default" w:ascii="Cambria Math" w:hAnsi="Cambria Math" w:eastAsia="Cambria Math" w:cs="Cambria Math"/>
                                    <w:sz w:val="24"/>
                                    <w:szCs w:val="24"/>
                                    <w:lang w:val="en-US" w:eastAsia="en-US"/>
                                  </w:rPr>
                                  <m:rPr>
                                    <m:sty m:val="p"/>
                                  </m:rPr>
                                  <m:t>k</m:t>
                                </m:r>
                              </m:sub>
                            </m:sSub>
                          </m:sub>
                        </m:sSub>
                      </m:e>
                    </m:d>
                  </m:e>
                </m:nary>
              </m:oMath>
            </m:oMathPara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keepLines/>
              <w:keepNext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где: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keepLines/>
              <w:keepNext/>
              <w:spacing w:before="0"/>
              <w:tabs>
                <w:tab w:val="left" w:pos="742" w:leader="none"/>
                <w:tab w:val="left" w:pos="97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  <w:lang w:eastAsia="en-US"/>
              </w:rPr>
              <w:t xml:space="preserve">ИТОГ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ab/>
              <w:t xml:space="preserve">рассчитанная итоговая оценка предпочтительности в баллах;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keepLines/>
              <w:keepNext/>
              <w:spacing w:before="0"/>
              <w:tabs>
                <w:tab w:val="left" w:pos="742" w:leader="none"/>
                <w:tab w:val="left" w:pos="97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bscript"/>
                <w:lang w:eastAsia="en-US"/>
              </w:rPr>
              <w:t xml:space="preserve">1 уровень k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ab/>
              <w:t xml:space="preserve">оценка предпочтительности по k-тому критерию оценки первого уровня в баллах;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6"/>
                <w:numId w:val="0"/>
              </w:numPr>
              <w:keepLines/>
              <w:keepNext/>
              <w:spacing w:before="0"/>
              <w:tabs>
                <w:tab w:val="left" w:pos="742" w:leader="none"/>
                <w:tab w:val="left" w:pos="1167" w:leader="none"/>
              </w:tabs>
              <w:rPr>
                <w:rFonts w:ascii="Times New Roman" w:hAnsi="Times New Roman" w:cs="Times New Roman"/>
                <w:spacing w:val="-4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en-US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vertAlign w:val="subscript"/>
                <w:lang w:eastAsia="en-US"/>
              </w:rPr>
              <w:t xml:space="preserve">1 уровень k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en-US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  <w:lang w:eastAsia="en-US"/>
              </w:rPr>
              <w:tab/>
              <w:t xml:space="preserve">значимость k-ого критерия оценки первого уровня, выраженная в диапазоне от 1% до 100% (или от 0,01 до 1,00) – вес k-ого критерия оценки первого уровня.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highlight w:val="none"/>
              </w:rPr>
            </w:r>
          </w:p>
          <w:p>
            <w:pPr>
              <w:numPr>
                <w:ilvl w:val="6"/>
                <w:numId w:val="0"/>
              </w:numPr>
              <w:jc w:val="both"/>
              <w:spacing w:before="0"/>
              <w:widowControl w:val="off"/>
              <w:tabs>
                <w:tab w:val="left" w:pos="742" w:leader="none"/>
                <w:tab w:val="left" w:pos="116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Расчет значений баллов по частным / обобщенным критериям оценки, а также итогового балла (итоговой оценки предпочтительности) производится до четвертого знака после запятой (в соответствии с математическими правилами округления).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1145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Итоговая оц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енка предпочтительности заявки формируется путем взвешенного суммирования (суммирования в баллах, умноженных на соответствующий коэффициент значимости критерия), производимого в рамках критериев одного уровня. Общая значимость всех критериев одного уровня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одной ветке иерархии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составляет 100%. Вычисление оценки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предпочтительности по каждому критерию и итоговой оценки предпочтительности заявки производится с точностью до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десятитысячных балла.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установленных случаях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оценка и сопоставление заявок производится с учетом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предоставления национального режима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предусмотренном подразделом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REF _Ref132816300 \r \h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4.14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Заявки участников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из числа успешно прошедших отборочную стадию рассмотрения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вторых частей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заявок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ценовых предложений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ранжируются по количеству набранных баллов (от наибольшего к наименьшему), присвоенных заявкам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результатам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оценки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20" w:name="_Toc63"/>
      <w:r>
        <w:rPr>
          <w:rFonts w:ascii="Times New Roman" w:hAnsi="Times New Roman" w:eastAsia="Times New Roman" w:cs="Times New Roman"/>
          <w:sz w:val="24"/>
          <w:szCs w:val="24"/>
        </w:rPr>
      </w:r>
      <w:bookmarkStart w:id="353" w:name="Прил09_ОбоснованиеНМЦ"/>
      <w:r>
        <w:rPr>
          <w:rFonts w:ascii="Times New Roman" w:hAnsi="Times New Roman" w:eastAsia="Times New Roman" w:cs="Times New Roman"/>
          <w:sz w:val="24"/>
          <w:szCs w:val="24"/>
        </w:rPr>
      </w:r>
      <w:bookmarkStart w:id="354" w:name="_Ref125360420"/>
      <w:r>
        <w:rPr>
          <w:rFonts w:ascii="Times New Roman" w:hAnsi="Times New Roman" w:eastAsia="Times New Roman" w:cs="Times New Roman"/>
          <w:sz w:val="24"/>
          <w:szCs w:val="24"/>
        </w:rPr>
      </w:r>
      <w:bookmarkEnd w:id="353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9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Обоснование НМЦ</w:t>
      </w:r>
      <w:bookmarkEnd w:id="354"/>
      <w:r>
        <w:rPr>
          <w:rFonts w:ascii="Times New Roman" w:hAnsi="Times New Roman" w:eastAsia="Times New Roman" w:cs="Times New Roman"/>
          <w:sz w:val="24"/>
          <w:szCs w:val="24"/>
        </w:rPr>
      </w:r>
      <w:bookmarkEnd w:id="42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21" w:name="_Toc64"/>
      <w:r>
        <w:rPr>
          <w:rFonts w:ascii="Times New Roman" w:hAnsi="Times New Roman" w:eastAsia="Times New Roman" w:cs="Times New Roman"/>
          <w:sz w:val="24"/>
          <w:szCs w:val="24"/>
        </w:rPr>
        <w:t xml:space="preserve">Пояснения к Обоснованию НМЦ</w:t>
      </w:r>
      <w:bookmarkEnd w:id="42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Обоснование НМЦ приведено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отдельном файле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предоставляется отдельным документом в составе 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являющимся Приложением №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9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 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22" w:name="_Toc65"/>
      <w:r>
        <w:rPr>
          <w:rFonts w:ascii="Times New Roman" w:hAnsi="Times New Roman" w:eastAsia="Times New Roman" w:cs="Times New Roman"/>
          <w:sz w:val="24"/>
          <w:szCs w:val="24"/>
        </w:rPr>
      </w:r>
      <w:bookmarkStart w:id="357" w:name="Прил10_ФормаЗаявкиНаАккредитацию"/>
      <w:r>
        <w:rPr>
          <w:rFonts w:ascii="Times New Roman" w:hAnsi="Times New Roman" w:eastAsia="Times New Roman" w:cs="Times New Roman"/>
          <w:sz w:val="24"/>
          <w:szCs w:val="24"/>
        </w:rPr>
      </w:r>
      <w:bookmarkEnd w:id="357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 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Форма Заявки на аккредитацию</w:t>
      </w:r>
      <w:bookmarkEnd w:id="422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423" w:name="_Toc66"/>
      <w:r>
        <w:rPr>
          <w:rFonts w:ascii="Times New Roman" w:hAnsi="Times New Roman" w:eastAsia="Times New Roman" w:cs="Times New Roman"/>
          <w:sz w:val="24"/>
          <w:szCs w:val="24"/>
        </w:rPr>
        <w:t xml:space="preserve">Пояснения к форме Заявки на аккредитацию</w:t>
      </w:r>
      <w:bookmarkEnd w:id="42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Форма Заявки на аккредитацию приведена в отдельном файле (предоставляется отдельным документом в составе Документации о закупке), являющимся Приложением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 Документации о закупке.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62025" cy="638175"/>
                <wp:effectExtent l="0" t="0" r="0" b="0"/>
                <wp:docPr id="4" name="_x0000_i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5">
                          <a:extLst>
                            <a:ext uri="{96DAC541-7B7A-43D3-8B79-37D633B846F1}">
                              <asvg:svgBlip xmlns:asvg="http://schemas.microsoft.com/office/drawing/2016/SVG/main" r:embed="rId26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6202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75.75pt;height:50.25pt;mso-wrap-distance-left:0.00pt;mso-wrap-distance-top:0.00pt;mso-wrap-distance-right:0.00pt;mso-wrap-distance-bottom:0.00pt;" stroked="f">
                <v:path textboxrect="0,0,0,0"/>
                <v:imagedata r:id="rId25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40803050406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613905730"/>
      <w:docPartObj>
        <w:docPartGallery w:val="Page Numbers (Bottom of Page)"/>
        <w:docPartUnique w:val="true"/>
      </w:docPartObj>
      <w:rPr/>
    </w:sdtPr>
    <w:sdtContent>
      <w:p>
        <w:pPr>
          <w:pStyle w:val="1152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158"/>
      </w:pPr>
      <w:r>
        <w:rPr>
          <w:rStyle w:val="1157"/>
        </w:rPr>
        <w:footnoteRef/>
      </w:r>
      <w:r>
        <w:tab/>
      </w:r>
      <w:r>
        <w:t xml:space="preserve">Определенные в соответствии с </w:t>
      </w:r>
      <w:r>
        <w:t xml:space="preserve">Законом </w:t>
      </w:r>
      <w:r>
        <w:t xml:space="preserve">422-ФЗ.</w:t>
      </w:r>
      <w:r/>
    </w:p>
  </w:footnote>
  <w:footnote w:id="3">
    <w:p>
      <w:pPr>
        <w:pStyle w:val="1158"/>
      </w:pPr>
      <w:r>
        <w:rPr>
          <w:rStyle w:val="1157"/>
        </w:rPr>
        <w:footnoteRef/>
      </w:r>
      <w:r>
        <w:tab/>
      </w:r>
      <w:r>
        <w:t xml:space="preserve">При этом отклонение заявки за </w:t>
      </w:r>
      <w:r>
        <w:t xml:space="preserve">отсутствие в ней документов, требующихся исключительно для</w:t>
      </w:r>
      <w:r>
        <w:t xml:space="preserve"> </w:t>
      </w:r>
      <w:r>
        <w:t xml:space="preserve">целей оценки и сопоставления заявок (подраздел </w:t>
      </w:r>
      <w:r>
        <w:fldChar w:fldCharType="begin"/>
      </w:r>
      <w:r>
        <w:instrText xml:space="preserve"> REF _Ref125362626 \w \h </w:instrText>
      </w:r>
      <w:r>
        <w:instrText xml:space="preserve"> \* MERGEFORMAT </w:instrText>
      </w:r>
      <w:r>
        <w:fldChar w:fldCharType="separate"/>
      </w:r>
      <w:r>
        <w:t xml:space="preserve">4.13</w:t>
      </w:r>
      <w:r>
        <w:fldChar w:fldCharType="end"/>
      </w:r>
      <w:r>
        <w:t xml:space="preserve">), не допускается.</w:t>
      </w:r>
      <w:r/>
    </w:p>
  </w:footnote>
  <w:footnote w:id="4">
    <w:p>
      <w:pPr>
        <w:pStyle w:val="1158"/>
      </w:pPr>
      <w:r>
        <w:rPr>
          <w:rStyle w:val="1157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5">
    <w:p>
      <w:pPr>
        <w:pStyle w:val="1158"/>
      </w:pPr>
      <w:r>
        <w:rPr>
          <w:rStyle w:val="1157"/>
        </w:rPr>
        <w:footnoteRef/>
      </w:r>
      <w:r>
        <w:tab/>
      </w:r>
      <w:r>
        <w:t xml:space="preserve">При этом отклонение заявки за </w:t>
      </w:r>
      <w:r>
        <w:t xml:space="preserve">отсутствие в ней документов, требующихся исключительно для</w:t>
      </w:r>
      <w:r>
        <w:t xml:space="preserve"> </w:t>
      </w:r>
      <w:r>
        <w:t xml:space="preserve">целей оценки и сопоставления заявок (подраздел </w:t>
      </w:r>
      <w:r>
        <w:fldChar w:fldCharType="begin"/>
      </w:r>
      <w:r>
        <w:instrText xml:space="preserve"> REF _Ref125362626 \w \h </w:instrText>
      </w:r>
      <w:r>
        <w:instrText xml:space="preserve"> \* MERGEFORMAT </w:instrText>
      </w:r>
      <w:r>
        <w:fldChar w:fldCharType="separate"/>
      </w:r>
      <w:r>
        <w:t xml:space="preserve">4.13</w:t>
      </w:r>
      <w:r>
        <w:fldChar w:fldCharType="end"/>
      </w:r>
      <w:r>
        <w:t xml:space="preserve">), не допускается.</w:t>
      </w:r>
      <w:r/>
    </w:p>
  </w:footnote>
  <w:footnote w:id="6">
    <w:p>
      <w:pPr>
        <w:pStyle w:val="1158"/>
      </w:pPr>
      <w:r>
        <w:rPr>
          <w:rStyle w:val="1157"/>
        </w:rPr>
        <w:footnoteRef/>
      </w:r>
      <w:r>
        <w:tab/>
        <w:t xml:space="preserve">С учетом пункта </w:t>
      </w:r>
      <w:r>
        <w:fldChar w:fldCharType="begin"/>
      </w:r>
      <w:r>
        <w:instrText xml:space="preserve"> REF _Ref125365558 \w \h </w:instrText>
      </w:r>
      <w:r>
        <w:fldChar w:fldCharType="separate"/>
      </w:r>
      <w:r>
        <w:t xml:space="preserve">4.14.5</w:t>
      </w:r>
      <w:r>
        <w:fldChar w:fldCharType="end"/>
      </w:r>
      <w:r>
        <w:t xml:space="preserve">.</w:t>
      </w:r>
      <w:r/>
    </w:p>
  </w:footnote>
  <w:footnote w:id="7">
    <w:p>
      <w:pPr>
        <w:pStyle w:val="1158"/>
      </w:pPr>
      <w:r>
        <w:rPr>
          <w:rStyle w:val="1157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8">
    <w:p>
      <w:pPr>
        <w:pStyle w:val="1155"/>
        <w:ind w:left="567" w:hanging="567"/>
        <w:jc w:val="both"/>
        <w:rPr>
          <w:sz w:val="22"/>
        </w:rPr>
      </w:pPr>
      <w:r>
        <w:rPr>
          <w:rStyle w:val="1157"/>
        </w:rPr>
        <w:footnoteRef/>
      </w:r>
      <w:r>
        <w:rPr>
          <w:sz w:val="22"/>
        </w:rPr>
        <w:tab/>
        <w:t xml:space="preserve">В отношении предоставляемой Участником (в целях обеспечения проведения оценки его финансового состояния (устойчивости) в соответствии с Положением об аккредитации) бухгалтерской (финансовой) отчетности самостоятельные исправления арифметических ошибок не</w:t>
      </w:r>
      <w:r>
        <w:rPr>
          <w:sz w:val="22"/>
        </w:rPr>
        <w:t xml:space="preserve"> </w:t>
      </w:r>
      <w:r>
        <w:rPr>
          <w:sz w:val="22"/>
        </w:rPr>
        <w:t xml:space="preserve">допускается (все</w:t>
      </w:r>
      <w:r>
        <w:rPr>
          <w:sz w:val="22"/>
        </w:rPr>
        <w:t xml:space="preserve"> </w:t>
      </w:r>
      <w:r>
        <w:rPr>
          <w:sz w:val="22"/>
        </w:rPr>
        <w:t xml:space="preserve">изменения в отчетность должны вноситься в установленном законодательством порядке).</w:t>
      </w:r>
      <w:r>
        <w:rPr>
          <w:sz w:val="22"/>
        </w:rPr>
      </w:r>
      <w:r>
        <w:rPr>
          <w:sz w:val="22"/>
        </w:rPr>
      </w:r>
    </w:p>
  </w:footnote>
  <w:footnote w:id="9">
    <w:p>
      <w:pPr>
        <w:pStyle w:val="1158"/>
      </w:pPr>
      <w:r>
        <w:rPr>
          <w:rStyle w:val="1157"/>
        </w:rPr>
        <w:footnoteRef/>
      </w:r>
      <w:r>
        <w:tab/>
      </w:r>
      <w:r>
        <w:t xml:space="preserve">Увеличение на 15% (пятнадцать процентов) итоговой стоимости заявки (цены Договора) в случае подачи им предложения о размере платы, подлежащей внесению за заключение Договора.</w:t>
      </w:r>
      <w:r/>
    </w:p>
  </w:footnote>
  <w:footnote w:id="10">
    <w:p>
      <w:pPr>
        <w:pStyle w:val="1158"/>
      </w:pPr>
      <w:r>
        <w:rPr>
          <w:rStyle w:val="1157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11">
    <w:p>
      <w:pPr>
        <w:pStyle w:val="1158"/>
      </w:pPr>
      <w:r>
        <w:rPr>
          <w:rStyle w:val="1157"/>
        </w:rPr>
        <w:footnoteRef/>
      </w:r>
      <w:r>
        <w:tab/>
      </w:r>
      <w:r>
        <w:t xml:space="preserve">https://minfin.gov.ru/ru/perfomance/tax_relations/policy/bankwarranty/</w:t>
      </w:r>
      <w:r/>
    </w:p>
  </w:footnote>
  <w:footnote w:id="12">
    <w:p>
      <w:pPr>
        <w:pStyle w:val="1158"/>
      </w:pPr>
      <w:r>
        <w:rPr>
          <w:rStyle w:val="1157"/>
        </w:rPr>
        <w:footnoteRef/>
      </w:r>
      <w:r>
        <w:tab/>
      </w:r>
      <w:r>
        <w:t xml:space="preserve">Во исполнение Указа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</w:t>
      </w:r>
      <w:r>
        <w:t xml:space="preserve"> </w:t>
      </w:r>
      <w:r>
        <w:t xml:space="preserve">недружественными действиями некоторых иностранных государств и международных организаций».</w:t>
      </w:r>
      <w:r/>
    </w:p>
  </w:footnote>
  <w:footnote w:id="13">
    <w:p>
      <w:pPr>
        <w:pStyle w:val="1158"/>
      </w:pPr>
      <w:r>
        <w:rPr>
          <w:rStyle w:val="1157"/>
        </w:rPr>
        <w:footnoteRef/>
      </w:r>
      <w:r>
        <w:tab/>
      </w:r>
      <w:r>
        <w:t xml:space="preserve">Перед заключением д</w:t>
      </w:r>
      <w:r>
        <w:t xml:space="preserve">оговора Заказчик дополнительно проводит проверку Победителя (данная норма применима также в отношении Единственного участника несостоявшейся закупки, с которым принято решение о заключении договора) на основании документов, предоставляемых в соответствии с</w:t>
      </w:r>
      <w:r>
        <w:t xml:space="preserve"> </w:t>
      </w:r>
      <w:r>
        <w:t xml:space="preserve">подразделом</w:t>
      </w:r>
      <w:r>
        <w:t xml:space="preserve"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. </w:t>
      </w:r>
      <w:r>
        <w:t xml:space="preserve">Е</w:t>
      </w:r>
      <w:r>
        <w:t xml:space="preserve">сли по результатам такой проверки Участник не отвечает установленным требованиям, то он утрачивает статус Победителя, а</w:t>
      </w:r>
      <w:r>
        <w:t xml:space="preserve"> </w:t>
      </w:r>
      <w:r>
        <w:t xml:space="preserve">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</w:footnote>
  <w:footnote w:id="14">
    <w:p>
      <w:pPr>
        <w:pStyle w:val="1155"/>
      </w:pPr>
      <w:r>
        <w:rPr>
          <w:rStyle w:val="1157"/>
        </w:rPr>
        <w:footnoteRef/>
      </w:r>
      <w:r>
        <w:t xml:space="preserve"> </w:t>
      </w:r>
      <w:r>
        <w:t xml:space="preserve">В Положении об аккредитации используется термин </w:t>
      </w:r>
      <w:r>
        <w:t xml:space="preserve">«</w:t>
      </w:r>
      <w:r>
        <w:t xml:space="preserve">Заявитель</w:t>
      </w:r>
      <w:r>
        <w:t xml:space="preserve">»</w:t>
      </w:r>
      <w:r>
        <w:t xml:space="preserve">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5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ascii="Times New Roman" w:hAnsi="Times New Roman" w:cs="Times New Roman"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660" w:hanging="660"/>
      </w:pPr>
      <w:rPr>
        <w:rFonts w:hint="default"/>
      </w:rPr>
    </w:lvl>
    <w:lvl w:ilvl="2">
      <w:start w:val="13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2694" w:hanging="1134"/>
        <w:tabs>
          <w:tab w:val="num" w:pos="2694" w:leader="none"/>
        </w:tabs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1184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1186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1187"/>
      <w:isLgl w:val="false"/>
      <w:suff w:val="tab"/>
      <w:lvlText w:val="%5)"/>
      <w:lvlJc w:val="left"/>
      <w:pPr>
        <w:ind w:left="5104" w:hanging="567"/>
        <w:tabs>
          <w:tab w:val="num" w:pos="5104" w:leader="none"/>
        </w:tabs>
      </w:pPr>
      <w:rPr>
        <w:rFonts w:hint="default"/>
        <w:b w:val="0"/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pStyle w:val="1143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144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  <w:highlight w:val="white"/>
      </w:rPr>
    </w:lvl>
    <w:lvl w:ilvl="2">
      <w:start w:val="1"/>
      <w:numFmt w:val="decimal"/>
      <w:pStyle w:val="1145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146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147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pStyle w:val="1195"/>
      <w:isLgl w:val="false"/>
      <w:suff w:val="tab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1196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197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198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199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1036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756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6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6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6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</w:lvl>
    <w:lvl w:ilvl="3">
      <w:start w:val="1"/>
      <w:numFmt w:val="decimal"/>
      <w:isLgl w:val="false"/>
      <w:suff w:val="tab"/>
      <w:lvlText w:val="(%4)"/>
      <w:lvlJc w:val="left"/>
      <w:pPr>
        <w:ind w:left="1701" w:hanging="567"/>
      </w:p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</w:lvl>
    <w:lvl w:ilvl="6">
      <w:start w:val="1"/>
      <w:numFmt w:val="none"/>
      <w:lvlRestart w:val="4"/>
      <w:isLgl w:val="false"/>
      <w:suff w:val="nothing"/>
      <w:lvlText w:val=""/>
      <w:lvlJc w:val="left"/>
      <w:pPr>
        <w:ind w:left="1701" w:firstLine="0"/>
      </w:pPr>
    </w:lvl>
    <w:lvl w:ilvl="7">
      <w:start w:val="1"/>
      <w:numFmt w:val="none"/>
      <w:lvlRestart w:val="3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1036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756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6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6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6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  <w:tabs>
          <w:tab w:val="num" w:pos="0" w:leader="none"/>
        </w:tabs>
      </w:pPr>
      <w:rPr>
        <w:rFonts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  <w:rPr>
        <w:rFonts w:cs="Times New Roman"/>
      </w:rPr>
    </w:lvl>
    <w:lvl w:ilvl="6">
      <w:start w:val="1"/>
      <w:numFmt w:val="none"/>
      <w:isLgl w:val="false"/>
      <w:suff w:val="nothing"/>
      <w:lvlText w:val=""/>
      <w:lvlJc w:val="left"/>
      <w:pPr>
        <w:ind w:left="1701" w:firstLine="0"/>
        <w:tabs>
          <w:tab w:val="num" w:pos="0" w:leader="none"/>
        </w:tabs>
      </w:pPr>
      <w:rPr>
        <w:rFonts w:cs="Times New Roman"/>
      </w:r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  <w:rPr>
        <w:rFonts w:cs="Times New Roman"/>
      </w:rPr>
    </w:lvl>
    <w:lvl w:ilvl="8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  <w:rPr>
        <w:rFonts w:cs="Times New Roman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  <w:tabs>
          <w:tab w:val="num" w:pos="0" w:leader="none"/>
        </w:tabs>
      </w:pPr>
      <w:rPr>
        <w:rFonts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  <w:rPr>
        <w:rFonts w:cs="Times New Roman"/>
      </w:rPr>
    </w:lvl>
    <w:lvl w:ilvl="6">
      <w:start w:val="1"/>
      <w:numFmt w:val="none"/>
      <w:isLgl w:val="false"/>
      <w:suff w:val="nothing"/>
      <w:lvlText w:val=""/>
      <w:lvlJc w:val="left"/>
      <w:pPr>
        <w:ind w:left="1701" w:firstLine="0"/>
        <w:tabs>
          <w:tab w:val="num" w:pos="0" w:leader="none"/>
        </w:tabs>
      </w:pPr>
      <w:rPr>
        <w:rFonts w:cs="Times New Roman"/>
      </w:r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  <w:rPr>
        <w:rFonts w:cs="Times New Roman"/>
      </w:rPr>
    </w:lvl>
    <w:lvl w:ilvl="8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  <w:rPr>
        <w:rFonts w:cs="Times New Roman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0" w:leader="none"/>
        </w:tabs>
      </w:pPr>
      <w:rPr>
        <w:rFonts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  <w:tabs>
          <w:tab w:val="num" w:pos="0" w:leader="none"/>
        </w:tabs>
      </w:pPr>
      <w:rPr>
        <w:rFonts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  <w:rPr>
        <w:rFonts w:cs="Times New Roman"/>
      </w:rPr>
    </w:lvl>
    <w:lvl w:ilvl="6">
      <w:start w:val="1"/>
      <w:numFmt w:val="none"/>
      <w:isLgl w:val="false"/>
      <w:suff w:val="nothing"/>
      <w:lvlText w:val=""/>
      <w:lvlJc w:val="left"/>
      <w:pPr>
        <w:ind w:left="1701" w:firstLine="0"/>
        <w:tabs>
          <w:tab w:val="num" w:pos="0" w:leader="none"/>
        </w:tabs>
      </w:pPr>
      <w:rPr>
        <w:rFonts w:cs="Times New Roman"/>
      </w:r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  <w:rPr>
        <w:rFonts w:cs="Times New Roman"/>
      </w:rPr>
    </w:lvl>
    <w:lvl w:ilvl="8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  <w:rPr>
        <w:rFonts w:cs="Times New Roman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6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8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0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2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6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8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27" w:hanging="360"/>
      </w:pPr>
      <w:rPr>
        <w:rFonts w:hint="default" w:ascii="Wingdings" w:hAnsi="Wingdings" w:eastAsia="Wingdings" w:cs="Wingdings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992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12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32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152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72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592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12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32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752" w:hanging="360"/>
      </w:pPr>
      <w:rPr>
        <w:rFonts w:hint="default" w:ascii="Wingdings" w:hAnsi="Wingdings" w:eastAsia="Wingdings" w:cs="Wingdings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16"/>
  </w:num>
  <w:num w:numId="5">
    <w:abstractNumId w:val="12"/>
  </w:num>
  <w:num w:numId="6">
    <w:abstractNumId w:val="7"/>
  </w:num>
  <w:num w:numId="7">
    <w:abstractNumId w:val="5"/>
  </w:num>
  <w:num w:numId="8">
    <w:abstractNumId w:val="1"/>
  </w:num>
  <w:num w:numId="9">
    <w:abstractNumId w:val="18"/>
  </w:num>
  <w:num w:numId="10">
    <w:abstractNumId w:val="6"/>
  </w:num>
  <w:num w:numId="11">
    <w:abstractNumId w:val="17"/>
  </w:num>
  <w:num w:numId="12">
    <w:abstractNumId w:val="20"/>
  </w:num>
  <w:num w:numId="13">
    <w:abstractNumId w:val="2"/>
  </w:num>
  <w:num w:numId="14">
    <w:abstractNumId w:val="3"/>
  </w:num>
  <w:num w:numId="15">
    <w:abstractNumId w:val="13"/>
  </w:num>
  <w:num w:numId="16">
    <w:abstractNumId w:val="9"/>
  </w:num>
  <w:num w:numId="17">
    <w:abstractNumId w:val="21"/>
  </w:num>
  <w:num w:numId="18">
    <w:abstractNumId w:val="19"/>
  </w:num>
  <w:num w:numId="19">
    <w:abstractNumId w:val="10"/>
  </w:num>
  <w:num w:numId="20">
    <w:abstractNumId w:val="8"/>
  </w:num>
  <w:num w:numId="21">
    <w:abstractNumId w:val="11"/>
  </w:num>
  <w:num w:numId="22">
    <w:abstractNumId w:val="22"/>
  </w:num>
  <w:num w:numId="23">
    <w:abstractNumId w:val="0"/>
  </w:num>
  <w:num w:numId="24">
    <w:abstractNumId w:val="14"/>
  </w:num>
  <w:num w:numId="25">
    <w:abstractNumId w:val="23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  <w:num w:numId="50">
    <w:abstractNumId w:val="48"/>
  </w:num>
  <w:num w:numId="51">
    <w:abstractNumId w:val="4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77">
    <w:name w:val="Heading 1 Char"/>
    <w:basedOn w:val="1140"/>
    <w:link w:val="1137"/>
    <w:uiPriority w:val="9"/>
    <w:rPr>
      <w:rFonts w:ascii="Arial" w:hAnsi="Arial" w:eastAsia="Arial" w:cs="Arial"/>
      <w:sz w:val="40"/>
      <w:szCs w:val="40"/>
    </w:rPr>
  </w:style>
  <w:style w:type="character" w:styleId="978">
    <w:name w:val="Heading 2 Char"/>
    <w:basedOn w:val="1140"/>
    <w:link w:val="1138"/>
    <w:uiPriority w:val="9"/>
    <w:rPr>
      <w:rFonts w:ascii="Arial" w:hAnsi="Arial" w:eastAsia="Arial" w:cs="Arial"/>
      <w:sz w:val="34"/>
    </w:rPr>
  </w:style>
  <w:style w:type="character" w:styleId="979">
    <w:name w:val="Heading 3 Char"/>
    <w:basedOn w:val="1140"/>
    <w:link w:val="1139"/>
    <w:uiPriority w:val="9"/>
    <w:rPr>
      <w:rFonts w:ascii="Arial" w:hAnsi="Arial" w:eastAsia="Arial" w:cs="Arial"/>
      <w:sz w:val="30"/>
      <w:szCs w:val="30"/>
    </w:rPr>
  </w:style>
  <w:style w:type="paragraph" w:styleId="980">
    <w:name w:val="Heading 4"/>
    <w:basedOn w:val="1136"/>
    <w:next w:val="1136"/>
    <w:link w:val="98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81">
    <w:name w:val="Heading 4 Char"/>
    <w:basedOn w:val="1140"/>
    <w:link w:val="980"/>
    <w:uiPriority w:val="9"/>
    <w:rPr>
      <w:rFonts w:ascii="Arial" w:hAnsi="Arial" w:eastAsia="Arial" w:cs="Arial"/>
      <w:b/>
      <w:bCs/>
      <w:sz w:val="26"/>
      <w:szCs w:val="26"/>
    </w:rPr>
  </w:style>
  <w:style w:type="paragraph" w:styleId="982">
    <w:name w:val="Heading 5"/>
    <w:basedOn w:val="1136"/>
    <w:next w:val="1136"/>
    <w:link w:val="98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83">
    <w:name w:val="Heading 5 Char"/>
    <w:basedOn w:val="1140"/>
    <w:link w:val="982"/>
    <w:uiPriority w:val="9"/>
    <w:rPr>
      <w:rFonts w:ascii="Arial" w:hAnsi="Arial" w:eastAsia="Arial" w:cs="Arial"/>
      <w:b/>
      <w:bCs/>
      <w:sz w:val="24"/>
      <w:szCs w:val="24"/>
    </w:rPr>
  </w:style>
  <w:style w:type="paragraph" w:styleId="984">
    <w:name w:val="Heading 6"/>
    <w:basedOn w:val="1136"/>
    <w:next w:val="1136"/>
    <w:link w:val="98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85">
    <w:name w:val="Heading 6 Char"/>
    <w:basedOn w:val="1140"/>
    <w:link w:val="984"/>
    <w:uiPriority w:val="9"/>
    <w:rPr>
      <w:rFonts w:ascii="Arial" w:hAnsi="Arial" w:eastAsia="Arial" w:cs="Arial"/>
      <w:b/>
      <w:bCs/>
      <w:sz w:val="22"/>
      <w:szCs w:val="22"/>
    </w:rPr>
  </w:style>
  <w:style w:type="paragraph" w:styleId="986">
    <w:name w:val="Heading 7"/>
    <w:basedOn w:val="1136"/>
    <w:next w:val="1136"/>
    <w:link w:val="98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87">
    <w:name w:val="Heading 7 Char"/>
    <w:basedOn w:val="1140"/>
    <w:link w:val="9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88">
    <w:name w:val="Heading 8"/>
    <w:basedOn w:val="1136"/>
    <w:next w:val="1136"/>
    <w:link w:val="98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89">
    <w:name w:val="Heading 8 Char"/>
    <w:basedOn w:val="1140"/>
    <w:link w:val="988"/>
    <w:uiPriority w:val="9"/>
    <w:rPr>
      <w:rFonts w:ascii="Arial" w:hAnsi="Arial" w:eastAsia="Arial" w:cs="Arial"/>
      <w:i/>
      <w:iCs/>
      <w:sz w:val="22"/>
      <w:szCs w:val="22"/>
    </w:rPr>
  </w:style>
  <w:style w:type="paragraph" w:styleId="990">
    <w:name w:val="Heading 9"/>
    <w:basedOn w:val="1136"/>
    <w:next w:val="1136"/>
    <w:link w:val="99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91">
    <w:name w:val="Heading 9 Char"/>
    <w:basedOn w:val="1140"/>
    <w:link w:val="990"/>
    <w:uiPriority w:val="9"/>
    <w:rPr>
      <w:rFonts w:ascii="Arial" w:hAnsi="Arial" w:eastAsia="Arial" w:cs="Arial"/>
      <w:i/>
      <w:iCs/>
      <w:sz w:val="21"/>
      <w:szCs w:val="21"/>
    </w:rPr>
  </w:style>
  <w:style w:type="paragraph" w:styleId="992">
    <w:name w:val="No Spacing"/>
    <w:uiPriority w:val="1"/>
    <w:qFormat/>
    <w:pPr>
      <w:spacing w:before="0" w:after="0" w:line="240" w:lineRule="auto"/>
    </w:pPr>
  </w:style>
  <w:style w:type="paragraph" w:styleId="993">
    <w:name w:val="Title"/>
    <w:basedOn w:val="1136"/>
    <w:next w:val="1136"/>
    <w:link w:val="9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94">
    <w:name w:val="Title Char"/>
    <w:basedOn w:val="1140"/>
    <w:link w:val="993"/>
    <w:uiPriority w:val="10"/>
    <w:rPr>
      <w:sz w:val="48"/>
      <w:szCs w:val="48"/>
    </w:rPr>
  </w:style>
  <w:style w:type="paragraph" w:styleId="995">
    <w:name w:val="Subtitle"/>
    <w:basedOn w:val="1136"/>
    <w:next w:val="1136"/>
    <w:link w:val="996"/>
    <w:uiPriority w:val="11"/>
    <w:qFormat/>
    <w:pPr>
      <w:spacing w:before="200" w:after="200"/>
    </w:pPr>
    <w:rPr>
      <w:sz w:val="24"/>
      <w:szCs w:val="24"/>
    </w:rPr>
  </w:style>
  <w:style w:type="character" w:styleId="996">
    <w:name w:val="Subtitle Char"/>
    <w:basedOn w:val="1140"/>
    <w:link w:val="995"/>
    <w:uiPriority w:val="11"/>
    <w:rPr>
      <w:sz w:val="24"/>
      <w:szCs w:val="24"/>
    </w:rPr>
  </w:style>
  <w:style w:type="paragraph" w:styleId="997">
    <w:name w:val="Quote"/>
    <w:basedOn w:val="1136"/>
    <w:next w:val="1136"/>
    <w:link w:val="998"/>
    <w:uiPriority w:val="29"/>
    <w:qFormat/>
    <w:pPr>
      <w:ind w:left="720" w:right="720"/>
    </w:pPr>
    <w:rPr>
      <w:i/>
    </w:rPr>
  </w:style>
  <w:style w:type="character" w:styleId="998">
    <w:name w:val="Quote Char"/>
    <w:link w:val="997"/>
    <w:uiPriority w:val="29"/>
    <w:rPr>
      <w:i/>
    </w:rPr>
  </w:style>
  <w:style w:type="paragraph" w:styleId="999">
    <w:name w:val="Intense Quote"/>
    <w:basedOn w:val="1136"/>
    <w:next w:val="1136"/>
    <w:link w:val="100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000">
    <w:name w:val="Intense Quote Char"/>
    <w:link w:val="999"/>
    <w:uiPriority w:val="30"/>
    <w:rPr>
      <w:i/>
    </w:rPr>
  </w:style>
  <w:style w:type="character" w:styleId="1001">
    <w:name w:val="Header Char"/>
    <w:basedOn w:val="1140"/>
    <w:link w:val="1150"/>
    <w:uiPriority w:val="99"/>
  </w:style>
  <w:style w:type="character" w:styleId="1002">
    <w:name w:val="Footer Char"/>
    <w:basedOn w:val="1140"/>
    <w:link w:val="1152"/>
    <w:uiPriority w:val="99"/>
  </w:style>
  <w:style w:type="paragraph" w:styleId="1003">
    <w:name w:val="Caption"/>
    <w:basedOn w:val="1136"/>
    <w:next w:val="1136"/>
    <w:link w:val="100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004">
    <w:name w:val="Caption Char"/>
    <w:basedOn w:val="1003"/>
    <w:link w:val="1152"/>
    <w:uiPriority w:val="99"/>
  </w:style>
  <w:style w:type="table" w:styleId="1005">
    <w:name w:val="Table Grid Light"/>
    <w:basedOn w:val="11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06">
    <w:name w:val="Plain Table 1"/>
    <w:basedOn w:val="11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07">
    <w:name w:val="Plain Table 2"/>
    <w:basedOn w:val="114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08">
    <w:name w:val="Plain Table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09">
    <w:name w:val="Plain Table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0">
    <w:name w:val="Plain Table 5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11">
    <w:name w:val="Grid Table 1 Light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2">
    <w:name w:val="Grid Table 1 Light - Accent 1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3">
    <w:name w:val="Grid Table 1 Light - Accent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4">
    <w:name w:val="Grid Table 1 Light - Accent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5">
    <w:name w:val="Grid Table 1 Light - Accent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6">
    <w:name w:val="Grid Table 1 Light - Accent 5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7">
    <w:name w:val="Grid Table 1 Light - Accent 6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8">
    <w:name w:val="Grid Table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9">
    <w:name w:val="Grid Table 2 - Accent 1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0">
    <w:name w:val="Grid Table 2 - Accent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>
    <w:name w:val="Grid Table 2 - Accent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>
    <w:name w:val="Grid Table 2 - Accent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>
    <w:name w:val="Grid Table 2 - Accent 5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>
    <w:name w:val="Grid Table 2 - Accent 6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>
    <w:name w:val="Grid Table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6">
    <w:name w:val="Grid Table 3 - Accent 1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7">
    <w:name w:val="Grid Table 3 - Accent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8">
    <w:name w:val="Grid Table 3 - Accent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9">
    <w:name w:val="Grid Table 3 - Accent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0">
    <w:name w:val="Grid Table 3 - Accent 5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1">
    <w:name w:val="Grid Table 3 - Accent 6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2">
    <w:name w:val="Grid Table 4"/>
    <w:basedOn w:val="11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33">
    <w:name w:val="Grid Table 4 - Accent 1"/>
    <w:basedOn w:val="11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34">
    <w:name w:val="Grid Table 4 - Accent 2"/>
    <w:basedOn w:val="11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35">
    <w:name w:val="Grid Table 4 - Accent 3"/>
    <w:basedOn w:val="11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36">
    <w:name w:val="Grid Table 4 - Accent 4"/>
    <w:basedOn w:val="11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37">
    <w:name w:val="Grid Table 4 - Accent 5"/>
    <w:basedOn w:val="11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38">
    <w:name w:val="Grid Table 4 - Accent 6"/>
    <w:basedOn w:val="11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39">
    <w:name w:val="Grid Table 5 Dark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40">
    <w:name w:val="Grid Table 5 Dark- Accent 1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1041">
    <w:name w:val="Grid Table 5 Dark - Accent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42">
    <w:name w:val="Grid Table 5 Dark - Accent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43">
    <w:name w:val="Grid Table 5 Dark- Accent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44">
    <w:name w:val="Grid Table 5 Dark - Accent 5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045">
    <w:name w:val="Grid Table 5 Dark - Accent 6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46">
    <w:name w:val="Grid Table 6 Colorful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47">
    <w:name w:val="Grid Table 6 Colorful - Accent 1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48">
    <w:name w:val="Grid Table 6 Colorful - Accent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49">
    <w:name w:val="Grid Table 6 Colorful - Accent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50">
    <w:name w:val="Grid Table 6 Colorful - Accent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51">
    <w:name w:val="Grid Table 6 Colorful - Accent 5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52">
    <w:name w:val="Grid Table 6 Colorful - Accent 6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53">
    <w:name w:val="Grid Table 7 Colorful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4">
    <w:name w:val="Grid Table 7 Colorful - Accent 1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5">
    <w:name w:val="Grid Table 7 Colorful - Accent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6">
    <w:name w:val="Grid Table 7 Colorful - Accent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7">
    <w:name w:val="Grid Table 7 Colorful - Accent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8">
    <w:name w:val="Grid Table 7 Colorful - Accent 5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9">
    <w:name w:val="Grid Table 7 Colorful - Accent 6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0">
    <w:name w:val="List Table 1 Light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1">
    <w:name w:val="List Table 1 Light - Accent 1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2">
    <w:name w:val="List Table 1 Light - Accent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3">
    <w:name w:val="List Table 1 Light - Accent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4">
    <w:name w:val="List Table 1 Light - Accent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5">
    <w:name w:val="List Table 1 Light - Accent 5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6">
    <w:name w:val="List Table 1 Light - Accent 6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7">
    <w:name w:val="List Table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68">
    <w:name w:val="List Table 2 - Accent 1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69">
    <w:name w:val="List Table 2 - Accent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70">
    <w:name w:val="List Table 2 - Accent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71">
    <w:name w:val="List Table 2 - Accent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72">
    <w:name w:val="List Table 2 - Accent 5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73">
    <w:name w:val="List Table 2 - Accent 6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74">
    <w:name w:val="List Table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5">
    <w:name w:val="List Table 3 - Accent 1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6">
    <w:name w:val="List Table 3 - Accent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7">
    <w:name w:val="List Table 3 - Accent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8">
    <w:name w:val="List Table 3 - Accent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9">
    <w:name w:val="List Table 3 - Accent 5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0">
    <w:name w:val="List Table 3 - Accent 6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1">
    <w:name w:val="List Table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2">
    <w:name w:val="List Table 4 - Accent 1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3">
    <w:name w:val="List Table 4 - Accent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4">
    <w:name w:val="List Table 4 - Accent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5">
    <w:name w:val="List Table 4 - Accent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6">
    <w:name w:val="List Table 4 - Accent 5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7">
    <w:name w:val="List Table 4 - Accent 6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8">
    <w:name w:val="List Table 5 Dark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9">
    <w:name w:val="List Table 5 Dark - Accent 1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0">
    <w:name w:val="List Table 5 Dark - Accent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1">
    <w:name w:val="List Table 5 Dark - Accent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2">
    <w:name w:val="List Table 5 Dark - Accent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3">
    <w:name w:val="List Table 5 Dark - Accent 5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4">
    <w:name w:val="List Table 5 Dark - Accent 6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5">
    <w:name w:val="List Table 6 Colorful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96">
    <w:name w:val="List Table 6 Colorful - Accent 1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97">
    <w:name w:val="List Table 6 Colorful - Accent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98">
    <w:name w:val="List Table 6 Colorful - Accent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99">
    <w:name w:val="List Table 6 Colorful - Accent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100">
    <w:name w:val="List Table 6 Colorful - Accent 5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101">
    <w:name w:val="List Table 6 Colorful - Accent 6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102">
    <w:name w:val="List Table 7 Colorful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103">
    <w:name w:val="List Table 7 Colorful - Accent 1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104">
    <w:name w:val="List Table 7 Colorful - Accent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105">
    <w:name w:val="List Table 7 Colorful - Accent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106">
    <w:name w:val="List Table 7 Colorful - Accent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107">
    <w:name w:val="List Table 7 Colorful - Accent 5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108">
    <w:name w:val="List Table 7 Colorful - Accent 6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109">
    <w:name w:val="Lined - Accent"/>
    <w:basedOn w:val="11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10">
    <w:name w:val="Lined - Accent 1"/>
    <w:basedOn w:val="11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11">
    <w:name w:val="Lined - Accent 2"/>
    <w:basedOn w:val="11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12">
    <w:name w:val="Lined - Accent 3"/>
    <w:basedOn w:val="11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13">
    <w:name w:val="Lined - Accent 4"/>
    <w:basedOn w:val="11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14">
    <w:name w:val="Lined - Accent 5"/>
    <w:basedOn w:val="11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15">
    <w:name w:val="Lined - Accent 6"/>
    <w:basedOn w:val="11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16">
    <w:name w:val="Bordered &amp; Lined - Accent"/>
    <w:basedOn w:val="11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17">
    <w:name w:val="Bordered &amp; Lined - Accent 1"/>
    <w:basedOn w:val="11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18">
    <w:name w:val="Bordered &amp; Lined - Accent 2"/>
    <w:basedOn w:val="11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19">
    <w:name w:val="Bordered &amp; Lined - Accent 3"/>
    <w:basedOn w:val="11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20">
    <w:name w:val="Bordered &amp; Lined - Accent 4"/>
    <w:basedOn w:val="11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21">
    <w:name w:val="Bordered &amp; Lined - Accent 5"/>
    <w:basedOn w:val="11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22">
    <w:name w:val="Bordered &amp; Lined - Accent 6"/>
    <w:basedOn w:val="11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23">
    <w:name w:val="Bordered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124">
    <w:name w:val="Bordered - Accent 1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125">
    <w:name w:val="Bordered - Accent 2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126">
    <w:name w:val="Bordered - Accent 3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127">
    <w:name w:val="Bordered - Accent 4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128">
    <w:name w:val="Bordered - Accent 5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129">
    <w:name w:val="Bordered - Accent 6"/>
    <w:basedOn w:val="11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130">
    <w:name w:val="Footnote Text Char"/>
    <w:link w:val="1155"/>
    <w:uiPriority w:val="99"/>
    <w:rPr>
      <w:sz w:val="18"/>
    </w:rPr>
  </w:style>
  <w:style w:type="paragraph" w:styleId="1131">
    <w:name w:val="endnote text"/>
    <w:basedOn w:val="1136"/>
    <w:link w:val="1132"/>
    <w:uiPriority w:val="99"/>
    <w:semiHidden/>
    <w:unhideWhenUsed/>
    <w:pPr>
      <w:spacing w:after="0" w:line="240" w:lineRule="auto"/>
    </w:pPr>
    <w:rPr>
      <w:sz w:val="20"/>
    </w:rPr>
  </w:style>
  <w:style w:type="character" w:styleId="1132">
    <w:name w:val="Endnote Text Char"/>
    <w:link w:val="1131"/>
    <w:uiPriority w:val="99"/>
    <w:rPr>
      <w:sz w:val="20"/>
    </w:rPr>
  </w:style>
  <w:style w:type="character" w:styleId="1133">
    <w:name w:val="endnote reference"/>
    <w:basedOn w:val="1140"/>
    <w:uiPriority w:val="99"/>
    <w:semiHidden/>
    <w:unhideWhenUsed/>
    <w:rPr>
      <w:vertAlign w:val="superscript"/>
    </w:rPr>
  </w:style>
  <w:style w:type="paragraph" w:styleId="1134">
    <w:name w:val="TOC Heading"/>
    <w:uiPriority w:val="39"/>
    <w:unhideWhenUsed/>
  </w:style>
  <w:style w:type="paragraph" w:styleId="1135">
    <w:name w:val="table of figures"/>
    <w:basedOn w:val="1136"/>
    <w:next w:val="1136"/>
    <w:uiPriority w:val="99"/>
    <w:unhideWhenUsed/>
    <w:pPr>
      <w:spacing w:after="0" w:afterAutospacing="0"/>
    </w:pPr>
  </w:style>
  <w:style w:type="paragraph" w:styleId="1136" w:default="1">
    <w:name w:val="Normal"/>
    <w:qFormat/>
  </w:style>
  <w:style w:type="paragraph" w:styleId="1137">
    <w:name w:val="Heading 1"/>
    <w:basedOn w:val="1136"/>
    <w:next w:val="1136"/>
    <w:link w:val="1188"/>
    <w:pPr>
      <w:ind w:left="1134" w:hanging="1134"/>
      <w:keepLines/>
      <w:keepNext/>
      <w:pageBreakBefore/>
      <w:spacing w:before="480" w:after="240"/>
      <w:tabs>
        <w:tab w:val="num" w:pos="1134" w:leader="none"/>
      </w:tabs>
      <w:outlineLvl w:val="0"/>
    </w:pPr>
    <w:rPr>
      <w:rFonts w:ascii="Arial" w:hAnsi="Arial" w:eastAsia="Times New Roman" w:cs="Times New Roman"/>
      <w:b/>
      <w:sz w:val="40"/>
      <w:szCs w:val="26"/>
      <w:lang w:eastAsia="ru-RU"/>
    </w:rPr>
  </w:style>
  <w:style w:type="paragraph" w:styleId="1138">
    <w:name w:val="Heading 2"/>
    <w:basedOn w:val="1136"/>
    <w:next w:val="1136"/>
    <w:link w:val="1189"/>
    <w:pPr>
      <w:ind w:left="2694" w:hanging="1134"/>
      <w:keepNext/>
      <w:spacing w:before="360" w:after="120"/>
      <w:tabs>
        <w:tab w:val="num" w:pos="2694" w:leader="none"/>
      </w:tabs>
      <w:outlineLvl w:val="1"/>
    </w:pPr>
    <w:rPr>
      <w:rFonts w:eastAsia="Times New Roman" w:cs="Times New Roman"/>
      <w:b/>
      <w:sz w:val="32"/>
      <w:szCs w:val="26"/>
      <w:lang w:eastAsia="ru-RU"/>
    </w:rPr>
  </w:style>
  <w:style w:type="paragraph" w:styleId="1139">
    <w:name w:val="Heading 3"/>
    <w:basedOn w:val="1136"/>
    <w:next w:val="1136"/>
    <w:link w:val="1190"/>
    <w:semiHidden/>
    <w:unhideWhenUsed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1140" w:default="1">
    <w:name w:val="Default Paragraph Font"/>
    <w:uiPriority w:val="1"/>
    <w:semiHidden/>
    <w:unhideWhenUsed/>
  </w:style>
  <w:style w:type="table" w:styleId="114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42" w:default="1">
    <w:name w:val="No List"/>
    <w:uiPriority w:val="99"/>
    <w:semiHidden/>
    <w:unhideWhenUsed/>
  </w:style>
  <w:style w:type="paragraph" w:styleId="1143" w:customStyle="1">
    <w:name w:val="[РГ] Раздел"/>
    <w:basedOn w:val="1136"/>
    <w:next w:val="1144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44" w:customStyle="1">
    <w:name w:val="[РГ] Подраздел"/>
    <w:basedOn w:val="1136"/>
    <w:next w:val="1145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45" w:customStyle="1">
    <w:name w:val="[РГ] Пункт"/>
    <w:basedOn w:val="1136"/>
    <w:qFormat/>
    <w:pPr>
      <w:numPr>
        <w:ilvl w:val="2"/>
        <w:numId w:val="1"/>
      </w:numPr>
      <w:jc w:val="both"/>
      <w:outlineLvl w:val="2"/>
    </w:pPr>
  </w:style>
  <w:style w:type="paragraph" w:styleId="1146" w:customStyle="1">
    <w:name w:val="[РГ] Подпункт"/>
    <w:basedOn w:val="1136"/>
    <w:qFormat/>
    <w:pPr>
      <w:numPr>
        <w:ilvl w:val="3"/>
        <w:numId w:val="1"/>
      </w:numPr>
      <w:jc w:val="both"/>
      <w:outlineLvl w:val="3"/>
    </w:pPr>
  </w:style>
  <w:style w:type="paragraph" w:styleId="1147" w:customStyle="1">
    <w:name w:val="[РГ] Перечисление"/>
    <w:basedOn w:val="1136"/>
    <w:qFormat/>
    <w:pPr>
      <w:numPr>
        <w:ilvl w:val="4"/>
        <w:numId w:val="1"/>
      </w:numPr>
      <w:jc w:val="both"/>
      <w:outlineLvl w:val="4"/>
    </w:pPr>
  </w:style>
  <w:style w:type="paragraph" w:styleId="1148" w:customStyle="1">
    <w:name w:val="[РГ] Заголовок"/>
    <w:basedOn w:val="1136"/>
    <w:next w:val="1149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49" w:customStyle="1">
    <w:name w:val="[РГ] Текст"/>
    <w:basedOn w:val="1136"/>
    <w:qFormat/>
    <w:pPr>
      <w:jc w:val="both"/>
    </w:pPr>
  </w:style>
  <w:style w:type="paragraph" w:styleId="1150">
    <w:name w:val="Header"/>
    <w:basedOn w:val="1136"/>
    <w:link w:val="1151"/>
    <w:uiPriority w:val="99"/>
    <w:unhideWhenUsed/>
    <w:pPr>
      <w:jc w:val="center"/>
      <w:spacing w:before="0" w:after="120"/>
    </w:pPr>
  </w:style>
  <w:style w:type="character" w:styleId="1151" w:customStyle="1">
    <w:name w:val="Верхний колонтитул Знак"/>
    <w:basedOn w:val="1140"/>
    <w:link w:val="1150"/>
    <w:uiPriority w:val="99"/>
  </w:style>
  <w:style w:type="paragraph" w:styleId="1152">
    <w:name w:val="Footer"/>
    <w:basedOn w:val="1136"/>
    <w:link w:val="1153"/>
    <w:unhideWhenUsed/>
    <w:pPr>
      <w:jc w:val="right"/>
    </w:pPr>
  </w:style>
  <w:style w:type="character" w:styleId="1153" w:customStyle="1">
    <w:name w:val="Нижний колонтитул Знак"/>
    <w:basedOn w:val="1140"/>
    <w:link w:val="1152"/>
    <w:uiPriority w:val="99"/>
  </w:style>
  <w:style w:type="character" w:styleId="1154" w:customStyle="1">
    <w:name w:val="[РГ] Инструкция для организатора"/>
    <w:basedOn w:val="1140"/>
    <w:uiPriority w:val="1"/>
    <w:qFormat/>
    <w:rPr>
      <w:i/>
      <w:iCs/>
      <w:shd w:val="clear" w:color="auto" w:fill="ffff99"/>
      <w:lang w:val="ru-RU"/>
    </w:rPr>
  </w:style>
  <w:style w:type="paragraph" w:styleId="1155">
    <w:name w:val="footnote text"/>
    <w:basedOn w:val="1136"/>
    <w:link w:val="1156"/>
    <w:uiPriority w:val="99"/>
    <w:semiHidden/>
    <w:unhideWhenUsed/>
    <w:pPr>
      <w:spacing w:before="0"/>
    </w:pPr>
    <w:rPr>
      <w:sz w:val="20"/>
      <w:szCs w:val="20"/>
    </w:rPr>
  </w:style>
  <w:style w:type="character" w:styleId="1156" w:customStyle="1">
    <w:name w:val="Текст сноски Знак"/>
    <w:basedOn w:val="1140"/>
    <w:link w:val="1155"/>
    <w:uiPriority w:val="99"/>
    <w:semiHidden/>
    <w:rPr>
      <w:sz w:val="20"/>
      <w:szCs w:val="20"/>
    </w:rPr>
  </w:style>
  <w:style w:type="character" w:styleId="1157">
    <w:name w:val="footnote reference"/>
    <w:basedOn w:val="1140"/>
    <w:unhideWhenUsed/>
    <w:rPr>
      <w:vertAlign w:val="superscript"/>
    </w:rPr>
  </w:style>
  <w:style w:type="paragraph" w:styleId="1158" w:customStyle="1">
    <w:name w:val="[РГ] Сноска"/>
    <w:basedOn w:val="1155"/>
    <w:qFormat/>
    <w:pPr>
      <w:ind w:left="567" w:hanging="567"/>
      <w:jc w:val="both"/>
      <w:spacing w:before="80"/>
    </w:pPr>
    <w:rPr>
      <w:sz w:val="22"/>
    </w:rPr>
  </w:style>
  <w:style w:type="character" w:styleId="1159">
    <w:name w:val="Hyperlink"/>
    <w:basedOn w:val="1140"/>
    <w:uiPriority w:val="99"/>
    <w:unhideWhenUsed/>
    <w:rPr>
      <w:color w:val="0563c1" w:themeColor="hyperlink"/>
      <w:u w:val="single"/>
    </w:rPr>
  </w:style>
  <w:style w:type="character" w:styleId="1160">
    <w:name w:val="Unresolved Mention"/>
    <w:basedOn w:val="1140"/>
    <w:uiPriority w:val="99"/>
    <w:semiHidden/>
    <w:unhideWhenUsed/>
    <w:rPr>
      <w:color w:val="605e5c"/>
      <w:shd w:val="clear" w:color="auto" w:fill="e1dfdd"/>
    </w:rPr>
  </w:style>
  <w:style w:type="paragraph" w:styleId="1161">
    <w:name w:val="toc 2"/>
    <w:basedOn w:val="1136"/>
    <w:next w:val="1136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62">
    <w:name w:val="toc 1"/>
    <w:basedOn w:val="1136"/>
    <w:next w:val="1136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63">
    <w:name w:val="toc 3"/>
    <w:basedOn w:val="1136"/>
    <w:next w:val="1136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64">
    <w:name w:val="toc 4"/>
    <w:basedOn w:val="1136"/>
    <w:next w:val="1136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65">
    <w:name w:val="toc 5"/>
    <w:basedOn w:val="1136"/>
    <w:next w:val="1136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66">
    <w:name w:val="toc 6"/>
    <w:basedOn w:val="1136"/>
    <w:next w:val="1136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67">
    <w:name w:val="toc 7"/>
    <w:basedOn w:val="1136"/>
    <w:next w:val="1136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68">
    <w:name w:val="toc 8"/>
    <w:basedOn w:val="1136"/>
    <w:next w:val="1136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69">
    <w:name w:val="toc 9"/>
    <w:basedOn w:val="1136"/>
    <w:next w:val="1136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170" w:customStyle="1">
    <w:name w:val="[РГ] Таблица"/>
    <w:basedOn w:val="1141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171">
    <w:name w:val="Table Grid"/>
    <w:basedOn w:val="1141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72">
    <w:name w:val="Placeholder Text"/>
    <w:basedOn w:val="1140"/>
    <w:uiPriority w:val="99"/>
    <w:semiHidden/>
    <w:rPr>
      <w:color w:val="808080"/>
    </w:rPr>
  </w:style>
  <w:style w:type="character" w:styleId="1173" w:customStyle="1">
    <w:name w:val="[РГ] Отсылка"/>
    <w:basedOn w:val="1140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74">
    <w:name w:val="annotation reference"/>
    <w:basedOn w:val="1140"/>
    <w:uiPriority w:val="99"/>
    <w:unhideWhenUsed/>
    <w:rPr>
      <w:sz w:val="16"/>
      <w:szCs w:val="16"/>
    </w:rPr>
  </w:style>
  <w:style w:type="paragraph" w:styleId="1175">
    <w:name w:val="annotation text"/>
    <w:basedOn w:val="1136"/>
    <w:link w:val="1176"/>
    <w:uiPriority w:val="99"/>
    <w:unhideWhenUsed/>
    <w:rPr>
      <w:sz w:val="20"/>
      <w:szCs w:val="20"/>
    </w:rPr>
  </w:style>
  <w:style w:type="character" w:styleId="1176" w:customStyle="1">
    <w:name w:val="Текст примечания Знак"/>
    <w:basedOn w:val="1140"/>
    <w:link w:val="1175"/>
    <w:uiPriority w:val="99"/>
    <w:rPr>
      <w:sz w:val="20"/>
      <w:szCs w:val="20"/>
    </w:rPr>
  </w:style>
  <w:style w:type="paragraph" w:styleId="1177">
    <w:name w:val="annotation subject"/>
    <w:basedOn w:val="1175"/>
    <w:next w:val="1175"/>
    <w:link w:val="1178"/>
    <w:uiPriority w:val="99"/>
    <w:semiHidden/>
    <w:unhideWhenUsed/>
    <w:rPr>
      <w:b/>
      <w:bCs/>
    </w:rPr>
  </w:style>
  <w:style w:type="character" w:styleId="1178" w:customStyle="1">
    <w:name w:val="Тема примечания Знак"/>
    <w:basedOn w:val="1176"/>
    <w:link w:val="1177"/>
    <w:uiPriority w:val="99"/>
    <w:semiHidden/>
    <w:rPr>
      <w:b/>
      <w:bCs/>
      <w:sz w:val="20"/>
      <w:szCs w:val="20"/>
    </w:rPr>
  </w:style>
  <w:style w:type="paragraph" w:styleId="1179" w:customStyle="1">
    <w:name w:val="[РГ] Альтернатива / Дополнение"/>
    <w:basedOn w:val="1149"/>
    <w:next w:val="1149"/>
    <w:qFormat/>
    <w:rPr>
      <w:i/>
      <w:shd w:val="clear" w:color="auto" w:fill="ccecff"/>
    </w:rPr>
  </w:style>
  <w:style w:type="character" w:styleId="1180" w:customStyle="1">
    <w:name w:val="[РГ] Инструкция для участника"/>
    <w:basedOn w:val="1140"/>
    <w:uiPriority w:val="1"/>
    <w:qFormat/>
    <w:rPr>
      <w:i/>
      <w:shd w:val="clear" w:color="auto" w:fill="d0cece" w:themeFill="background2" w:themeFillShade="E6"/>
      <w:lang w:val="ru-RU"/>
    </w:rPr>
  </w:style>
  <w:style w:type="paragraph" w:styleId="1181">
    <w:name w:val="Revision"/>
    <w:hidden/>
    <w:uiPriority w:val="99"/>
    <w:semiHidden/>
    <w:pPr>
      <w:spacing w:before="0"/>
    </w:pPr>
  </w:style>
  <w:style w:type="character" w:styleId="1182">
    <w:name w:val="FollowedHyperlink"/>
    <w:basedOn w:val="1140"/>
    <w:uiPriority w:val="99"/>
    <w:semiHidden/>
    <w:unhideWhenUsed/>
    <w:rPr>
      <w:color w:val="954f72" w:themeColor="followedHyperlink"/>
      <w:u w:val="single"/>
    </w:rPr>
  </w:style>
  <w:style w:type="paragraph" w:styleId="1183">
    <w:name w:val="List Paragraph"/>
    <w:basedOn w:val="1136"/>
    <w:uiPriority w:val="34"/>
    <w:qFormat/>
    <w:pPr>
      <w:contextualSpacing/>
      <w:ind w:left="720"/>
    </w:pPr>
  </w:style>
  <w:style w:type="paragraph" w:styleId="1184" w:customStyle="1">
    <w:name w:val="Пункт"/>
    <w:basedOn w:val="1136"/>
    <w:link w:val="1185"/>
    <w:pPr>
      <w:numPr>
        <w:ilvl w:val="2"/>
        <w:numId w:val="15"/>
      </w:numPr>
      <w:jc w:val="both"/>
    </w:pPr>
    <w:rPr>
      <w:rFonts w:eastAsia="Times New Roman" w:cs="Times New Roman"/>
      <w:szCs w:val="26"/>
      <w:lang w:eastAsia="ru-RU"/>
    </w:rPr>
  </w:style>
  <w:style w:type="character" w:styleId="1185" w:customStyle="1">
    <w:name w:val="Пункт Знак2"/>
    <w:link w:val="1184"/>
    <w:rPr>
      <w:rFonts w:eastAsia="Times New Roman" w:cs="Times New Roman"/>
      <w:szCs w:val="26"/>
      <w:lang w:eastAsia="ru-RU"/>
    </w:rPr>
  </w:style>
  <w:style w:type="paragraph" w:styleId="1186" w:customStyle="1">
    <w:name w:val="Подпункт"/>
    <w:basedOn w:val="1184"/>
    <w:pPr>
      <w:numPr>
        <w:ilvl w:val="3"/>
      </w:numPr>
      <w:ind w:left="2880" w:hanging="360"/>
      <w:tabs>
        <w:tab w:val="clear" w:pos="1134" w:leader="none"/>
      </w:tabs>
    </w:pPr>
  </w:style>
  <w:style w:type="paragraph" w:styleId="1187" w:customStyle="1">
    <w:name w:val="Подподпункт"/>
    <w:basedOn w:val="1186"/>
    <w:pPr>
      <w:numPr>
        <w:ilvl w:val="4"/>
      </w:numPr>
      <w:ind w:left="3600" w:hanging="360"/>
      <w:tabs>
        <w:tab w:val="clear" w:pos="5104" w:leader="none"/>
      </w:tabs>
    </w:pPr>
  </w:style>
  <w:style w:type="character" w:styleId="1188" w:customStyle="1">
    <w:name w:val="Заголовок 1 Знак"/>
    <w:basedOn w:val="1140"/>
    <w:link w:val="1137"/>
    <w:rPr>
      <w:rFonts w:ascii="Arial" w:hAnsi="Arial" w:eastAsia="Times New Roman" w:cs="Times New Roman"/>
      <w:b/>
      <w:sz w:val="40"/>
      <w:szCs w:val="26"/>
      <w:lang w:eastAsia="ru-RU"/>
    </w:rPr>
  </w:style>
  <w:style w:type="character" w:styleId="1189" w:customStyle="1">
    <w:name w:val="Заголовок 2 Знак"/>
    <w:basedOn w:val="1140"/>
    <w:link w:val="1138"/>
    <w:rPr>
      <w:rFonts w:eastAsia="Times New Roman" w:cs="Times New Roman"/>
      <w:b/>
      <w:sz w:val="32"/>
      <w:szCs w:val="26"/>
      <w:lang w:eastAsia="ru-RU"/>
    </w:rPr>
  </w:style>
  <w:style w:type="character" w:styleId="1190" w:customStyle="1">
    <w:name w:val="Заголовок 3 Знак"/>
    <w:basedOn w:val="1140"/>
    <w:link w:val="1139"/>
    <w:semiHidden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1191" w:customStyle="1">
    <w:name w:val="Table_header"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192" w:customStyle="1">
    <w:name w:val="комментарий"/>
    <w:rPr>
      <w:b/>
      <w:i/>
      <w:shd w:val="clear" w:color="auto" w:fill="ffff99"/>
    </w:rPr>
  </w:style>
  <w:style w:type="paragraph" w:styleId="1193" w:customStyle="1">
    <w:name w:val="Table_text"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194" w:customStyle="1">
    <w:name w:val="List Number"/>
    <w:pPr>
      <w:contextualSpacing w:val="0"/>
      <w:ind w:left="0" w:right="0" w:firstLine="0"/>
      <w:jc w:val="both"/>
      <w:keepLines w:val="0"/>
      <w:keepNext w:val="0"/>
      <w:pageBreakBefore w:val="0"/>
      <w:spacing w:before="60" w:beforeAutospacing="0" w:after="0" w:afterAutospacing="0" w:line="240" w:lineRule="auto"/>
      <w:shd w:val="nil"/>
      <w:widowControl/>
      <w:tabs>
        <w:tab w:val="num" w:pos="1134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195" w:customStyle="1">
    <w:name w:val="УРОВЕНЬ_(а)"/>
    <w:qFormat/>
    <w:pPr>
      <w:numPr>
        <w:ilvl w:val="3"/>
        <w:numId w:val="27"/>
      </w:numPr>
      <w:contextualSpacing w:val="0"/>
      <w:ind w:left="720" w:right="0" w:firstLine="567"/>
      <w:jc w:val="both"/>
      <w:keepLines w:val="0"/>
      <w:keepNext w:val="0"/>
      <w:pageBreakBefore w:val="0"/>
      <w:spacing w:before="0" w:beforeAutospacing="0" w:after="0" w:afterAutospacing="0" w:line="360" w:lineRule="exact"/>
      <w:shd w:val="nil"/>
      <w:widowControl/>
      <w:tabs>
        <w:tab w:val="num" w:pos="36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3"/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196" w:customStyle="1">
    <w:name w:val="УРОВЕНЬ_-"/>
    <w:qFormat/>
    <w:pPr>
      <w:numPr>
        <w:ilvl w:val="4"/>
        <w:numId w:val="27"/>
      </w:numPr>
      <w:contextualSpacing w:val="0"/>
      <w:ind w:left="2268" w:right="0" w:hanging="567"/>
      <w:jc w:val="both"/>
      <w:keepLines w:val="0"/>
      <w:keepNext w:val="0"/>
      <w:pageBreakBefore w:val="0"/>
      <w:spacing w:before="0" w:beforeAutospacing="0" w:after="0" w:afterAutospacing="0" w:line="360" w:lineRule="exact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4"/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197" w:customStyle="1">
    <w:name w:val="УРОВЕНЬ_Подпись"/>
    <w:qFormat/>
    <w:pPr>
      <w:numPr>
        <w:ilvl w:val="5"/>
        <w:numId w:val="27"/>
      </w:numPr>
      <w:contextualSpacing w:val="0"/>
      <w:ind w:left="720" w:right="0" w:firstLine="567"/>
      <w:jc w:val="right"/>
      <w:keepLines w:val="0"/>
      <w:keepNext/>
      <w:pageBreakBefore w:val="0"/>
      <w:spacing w:before="0" w:beforeAutospacing="0" w:after="120" w:afterAutospacing="0" w:line="360" w:lineRule="exact"/>
      <w:shd w:val="nil"/>
      <w:widowControl/>
      <w:tabs>
        <w:tab w:val="num" w:pos="36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3"/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198" w:customStyle="1">
    <w:name w:val="УРОВЕНЬ_Абзац_тип2"/>
    <w:qFormat/>
    <w:pPr>
      <w:numPr>
        <w:ilvl w:val="6"/>
        <w:numId w:val="27"/>
      </w:numPr>
      <w:contextualSpacing w:val="0"/>
      <w:ind w:left="1701" w:right="0" w:firstLine="0"/>
      <w:jc w:val="both"/>
      <w:keepLines w:val="0"/>
      <w:keepNext w:val="0"/>
      <w:pageBreakBefore w:val="0"/>
      <w:spacing w:before="0" w:beforeAutospacing="0" w:after="0" w:afterAutospacing="0" w:line="360" w:lineRule="exact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199" w:customStyle="1">
    <w:name w:val="УРОВЕНЬ_Абзац_тип3"/>
    <w:qFormat/>
    <w:pPr>
      <w:numPr>
        <w:ilvl w:val="7"/>
        <w:numId w:val="27"/>
      </w:numPr>
      <w:contextualSpacing w:val="0"/>
      <w:ind w:left="0" w:right="0" w:firstLine="0"/>
      <w:jc w:val="both"/>
      <w:keepLines w:val="0"/>
      <w:keepNext w:val="0"/>
      <w:pageBreakBefore w:val="0"/>
      <w:spacing w:before="0" w:beforeAutospacing="0" w:after="0" w:afterAutospacing="0" w:line="360" w:lineRule="exact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200" w:customStyle="1">
    <w:name w:val="[РусГидро] Пункт"/>
    <w:qFormat/>
    <w:pPr>
      <w:numPr>
        <w:ilvl w:val="2"/>
        <w:numId w:val="0"/>
      </w:numPr>
      <w:contextualSpacing w:val="0"/>
      <w:ind w:left="72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tabs>
        <w:tab w:val="num" w:pos="36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2"/>
      <w:suppressLineNumbers w:val="0"/>
    </w:pPr>
    <w:rPr>
      <w:rFonts w:ascii="Times New Roman" w:hAnsi="Times New Roman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6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201" w:customStyle="1">
    <w:name w:val="Абзац списка"/>
    <w:uiPriority w:val="34"/>
    <w:qFormat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202" w:customStyle="1">
    <w:name w:val="Normal (Web)"/>
    <w:uiPriority w:val="99"/>
    <w:unhideWhenUsed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1" w:after="0" w:afterAutospacing="1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hyperlink" Target="https://www.roseltorg.ru/knowledge_db/docs?55" TargetMode="External"/><Relationship Id="rId13" Type="http://schemas.openxmlformats.org/officeDocument/2006/relationships/hyperlink" Target="mailto:dgk@dgk.ru" TargetMode="External"/><Relationship Id="rId14" Type="http://schemas.openxmlformats.org/officeDocument/2006/relationships/hyperlink" Target="mailto:erdyneeva_ag@dgk.ru" TargetMode="External"/><Relationship Id="rId15" Type="http://schemas.openxmlformats.org/officeDocument/2006/relationships/hyperlink" Target="mailto:dgk@dgk.ru" TargetMode="External"/><Relationship Id="rId16" Type="http://schemas.openxmlformats.org/officeDocument/2006/relationships/hyperlink" Target="mailto:evstratenko-av@dgk.ru" TargetMode="External"/><Relationship Id="rId17" Type="http://schemas.openxmlformats.org/officeDocument/2006/relationships/hyperlink" Target="mailto:erdyneeva_ag@dgk.ru" TargetMode="External"/><Relationship Id="rId18" Type="http://schemas.openxmlformats.org/officeDocument/2006/relationships/image" Target="media/image1.png"/><Relationship Id="rId19" Type="http://schemas.openxmlformats.org/officeDocument/2006/relationships/image" Target="media/media1.svg"/><Relationship Id="rId20" Type="http://schemas.openxmlformats.org/officeDocument/2006/relationships/image" Target="media/image2.png"/><Relationship Id="rId21" Type="http://schemas.openxmlformats.org/officeDocument/2006/relationships/image" Target="media/media2.svg"/><Relationship Id="rId22" Type="http://schemas.openxmlformats.org/officeDocument/2006/relationships/image" Target="media/image3.png"/><Relationship Id="rId23" Type="http://schemas.openxmlformats.org/officeDocument/2006/relationships/image" Target="media/media3.svg"/><Relationship Id="rId24" Type="http://schemas.openxmlformats.org/officeDocument/2006/relationships/hyperlink" Target="https://bo.nalog.ru" TargetMode="External"/><Relationship Id="rId25" Type="http://schemas.openxmlformats.org/officeDocument/2006/relationships/image" Target="media/image4.png"/><Relationship Id="rId26" Type="http://schemas.openxmlformats.org/officeDocument/2006/relationships/image" Target="media/media4.sv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EDA28-9E38-4535-9CFF-6A40A405C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</dc:title>
  <dc:subject>Альбом типовых форм</dc:subject>
  <dc:creator>Владимир Щербаков</dc:creator>
  <cp:keywords>Типовая форма</cp:keywords>
  <dc:description/>
  <cp:lastModifiedBy>evstratenko_av</cp:lastModifiedBy>
  <cp:revision>217</cp:revision>
  <dcterms:created xsi:type="dcterms:W3CDTF">2023-08-16T07:54:00Z</dcterms:created>
  <dcterms:modified xsi:type="dcterms:W3CDTF">2026-05-18T23:47:29Z</dcterms:modified>
</cp:coreProperties>
</file>